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1BC3DB78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E46698">
        <w:rPr>
          <w:rFonts w:ascii="Calibri" w:hAnsi="Calibri"/>
          <w:b/>
          <w:sz w:val="40"/>
          <w:szCs w:val="40"/>
        </w:rPr>
        <w:t>KATOWICE</w:t>
      </w:r>
      <w:r w:rsidR="00826D68">
        <w:rPr>
          <w:rFonts w:ascii="Calibri" w:hAnsi="Calibri"/>
          <w:b/>
          <w:sz w:val="40"/>
          <w:szCs w:val="40"/>
        </w:rPr>
        <w:t xml:space="preserve">, </w:t>
      </w:r>
      <w:r w:rsidR="00E46698">
        <w:rPr>
          <w:rFonts w:ascii="Calibri" w:hAnsi="Calibri"/>
          <w:b/>
          <w:sz w:val="40"/>
          <w:szCs w:val="40"/>
        </w:rPr>
        <w:t>10-11</w:t>
      </w:r>
      <w:r w:rsidR="00826D68">
        <w:rPr>
          <w:rFonts w:ascii="Calibri" w:hAnsi="Calibri"/>
          <w:b/>
          <w:sz w:val="40"/>
          <w:szCs w:val="40"/>
        </w:rPr>
        <w:t xml:space="preserve"> marca 2026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>miejsce, sposób i ramy czasowe udostępniania SWZ Kryteria oceny ofert (w tym głównie pozacenowe).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1B7C3F4E" w:rsidR="00004341" w:rsidRPr="00E4129E" w:rsidRDefault="00E46698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10-11</w:t>
      </w:r>
      <w:r w:rsidR="00826D68">
        <w:rPr>
          <w:rFonts w:ascii="Calibri" w:hAnsi="Calibri"/>
          <w:b/>
          <w:sz w:val="26"/>
          <w:szCs w:val="26"/>
        </w:rPr>
        <w:t xml:space="preserve"> marca</w:t>
      </w:r>
      <w:r w:rsidR="00234080">
        <w:rPr>
          <w:rFonts w:ascii="Calibri" w:hAnsi="Calibri"/>
          <w:b/>
          <w:sz w:val="26"/>
          <w:szCs w:val="26"/>
        </w:rPr>
        <w:t xml:space="preserve">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>
        <w:rPr>
          <w:rFonts w:ascii="Calibri" w:hAnsi="Calibri"/>
          <w:b/>
          <w:sz w:val="36"/>
          <w:szCs w:val="36"/>
        </w:rPr>
        <w:t>KATOWICE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826D68">
        <w:rPr>
          <w:rFonts w:ascii="Calibri" w:hAnsi="Calibri"/>
          <w:b/>
          <w:sz w:val="24"/>
          <w:szCs w:val="24"/>
        </w:rPr>
        <w:t xml:space="preserve"> Hotel </w:t>
      </w:r>
      <w:r>
        <w:rPr>
          <w:rFonts w:ascii="Calibri" w:hAnsi="Calibri"/>
          <w:b/>
          <w:sz w:val="24"/>
          <w:szCs w:val="24"/>
        </w:rPr>
        <w:t>Silesian, ul. Szybowcowa 1 A</w:t>
      </w:r>
      <w:r w:rsidR="00826D68">
        <w:rPr>
          <w:rFonts w:ascii="Calibri" w:hAnsi="Calibri"/>
          <w:b/>
          <w:sz w:val="24"/>
          <w:szCs w:val="24"/>
        </w:rPr>
        <w:t>,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826D68">
        <w:rPr>
          <w:rFonts w:ascii="Calibri" w:hAnsi="Calibri"/>
          <w:b/>
          <w:sz w:val="24"/>
          <w:szCs w:val="24"/>
        </w:rPr>
        <w:t>9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826D68">
        <w:rPr>
          <w:rFonts w:ascii="Calibri" w:hAnsi="Calibri"/>
          <w:b/>
          <w:sz w:val="24"/>
          <w:szCs w:val="24"/>
        </w:rPr>
        <w:t>5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77B6E7B" w14:textId="77777777" w:rsidR="00826D68" w:rsidRPr="00826D68" w:rsidRDefault="00826D68" w:rsidP="00826D68">
      <w:pPr>
        <w:pStyle w:val="Tekstpodstawowy"/>
        <w:suppressAutoHyphens/>
        <w:ind w:right="-204"/>
        <w:rPr>
          <w:rFonts w:ascii="Calibri" w:hAnsi="Calibri"/>
          <w:b/>
          <w:sz w:val="20"/>
        </w:rPr>
      </w:pPr>
      <w:r w:rsidRPr="00826D68">
        <w:rPr>
          <w:rFonts w:ascii="Calibri" w:hAnsi="Calibri"/>
          <w:b/>
          <w:sz w:val="20"/>
        </w:rPr>
        <w:t>Koszt uczestnictwa 1 osoby w szkoleniu wynosi 1580,- zł w przypadku finansowania szkolenia ze środków publicznych w co najmniej 70% (faktura VAT zw.). W pozostałych przypadkach koszt szkolenia wynosi 1940,- zł brutto (VAT 23%) i obejmuje koszt materiałów wydanych w formie książkowej (Ustawa PZP + Akty wykonawcze), pisemne zaświadczenie uczestnictwa, serwis kawowy, lunch.</w:t>
      </w:r>
    </w:p>
    <w:p w14:paraId="577DA537" w14:textId="77777777" w:rsidR="00421989" w:rsidRPr="00864522" w:rsidRDefault="00421989" w:rsidP="00421989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0A38206D" w14:textId="77777777" w:rsidR="00421989" w:rsidRDefault="00421989" w:rsidP="00421989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2640A93A" w14:textId="77777777" w:rsidR="00421989" w:rsidRDefault="00421989" w:rsidP="00421989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19A8CF51" w14:textId="77777777" w:rsidR="00421989" w:rsidRDefault="00421989" w:rsidP="00421989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7C262792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EC90160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046AB19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121EB527" w14:textId="77777777" w:rsidR="00421989" w:rsidRPr="00864522" w:rsidRDefault="00421989" w:rsidP="0042198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3F184F31" w14:textId="77777777" w:rsidR="00421989" w:rsidRDefault="00421989" w:rsidP="00421989">
      <w:pPr>
        <w:pStyle w:val="Tekstpodstawowy"/>
        <w:rPr>
          <w:rFonts w:ascii="Calibri" w:hAnsi="Calibri"/>
          <w:sz w:val="21"/>
          <w:szCs w:val="21"/>
        </w:rPr>
      </w:pPr>
    </w:p>
    <w:p w14:paraId="22A2E338" w14:textId="77777777" w:rsidR="00421989" w:rsidRDefault="00421989" w:rsidP="00421989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5DF39BB5" w14:textId="5E185B63" w:rsidR="00421989" w:rsidRPr="00864522" w:rsidRDefault="00234080" w:rsidP="00421989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F3199C" wp14:editId="46163C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0976755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336D10C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5A949B7" w14:textId="77777777" w:rsidR="00421989" w:rsidRDefault="00421989" w:rsidP="00421989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2A7DDEF4" w14:textId="77777777" w:rsidR="00421989" w:rsidRDefault="00421989" w:rsidP="00421989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39DEF894" w14:textId="77777777" w:rsidR="00DD4FFE" w:rsidRPr="00C67922" w:rsidRDefault="00421989" w:rsidP="00421989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DD4FFE" w:rsidRPr="00C67922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E20E" w14:textId="77777777" w:rsidR="00B91DF1" w:rsidRDefault="00B91DF1">
      <w:r>
        <w:separator/>
      </w:r>
    </w:p>
  </w:endnote>
  <w:endnote w:type="continuationSeparator" w:id="0">
    <w:p w14:paraId="1B1C41EC" w14:textId="77777777" w:rsidR="00B91DF1" w:rsidRDefault="00B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BB1117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17ED" w14:textId="77777777" w:rsidR="00B91DF1" w:rsidRDefault="00B91DF1">
      <w:r>
        <w:separator/>
      </w:r>
    </w:p>
  </w:footnote>
  <w:footnote w:type="continuationSeparator" w:id="0">
    <w:p w14:paraId="4CFEC638" w14:textId="77777777" w:rsidR="00B91DF1" w:rsidRDefault="00B9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3F1"/>
    <w:rsid w:val="00402AB8"/>
    <w:rsid w:val="00405E11"/>
    <w:rsid w:val="00411070"/>
    <w:rsid w:val="00415335"/>
    <w:rsid w:val="00415755"/>
    <w:rsid w:val="00416435"/>
    <w:rsid w:val="00417EE9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D68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688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1DF1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6698"/>
    <w:rsid w:val="00E47694"/>
    <w:rsid w:val="00E4772D"/>
    <w:rsid w:val="00E5204D"/>
    <w:rsid w:val="00E52698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1225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5</cp:revision>
  <cp:lastPrinted>2021-05-28T07:17:00Z</cp:lastPrinted>
  <dcterms:created xsi:type="dcterms:W3CDTF">2025-11-07T12:53:00Z</dcterms:created>
  <dcterms:modified xsi:type="dcterms:W3CDTF">2026-02-10T11:39:00Z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