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6E8EDD3F" w14:textId="470FC45D" w:rsidR="00D459E6" w:rsidRDefault="00D459E6" w:rsidP="00D459E6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„</w:t>
      </w:r>
      <w:r w:rsidRPr="00D459E6">
        <w:rPr>
          <w:rFonts w:ascii="Calibri" w:hAnsi="Calibri"/>
          <w:b/>
          <w:sz w:val="40"/>
          <w:szCs w:val="40"/>
        </w:rPr>
        <w:t xml:space="preserve">Zamówienia publiczne 2026 krok po kroku - co zrobić </w:t>
      </w:r>
    </w:p>
    <w:p w14:paraId="72C08CBF" w14:textId="4702875D" w:rsidR="00D459E6" w:rsidRPr="00D459E6" w:rsidRDefault="00D459E6" w:rsidP="00D459E6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D459E6">
        <w:rPr>
          <w:rFonts w:ascii="Calibri" w:hAnsi="Calibri"/>
          <w:b/>
          <w:sz w:val="40"/>
          <w:szCs w:val="40"/>
        </w:rPr>
        <w:t>na początku roku, żeby nie nadrabiać przez cały rok</w:t>
      </w:r>
      <w:r>
        <w:rPr>
          <w:rFonts w:ascii="Calibri" w:hAnsi="Calibri"/>
          <w:b/>
          <w:sz w:val="40"/>
          <w:szCs w:val="40"/>
        </w:rPr>
        <w:t>?”</w:t>
      </w:r>
    </w:p>
    <w:p w14:paraId="470FF59E" w14:textId="3B189D8D" w:rsidR="00987344" w:rsidRPr="005D5002" w:rsidRDefault="00987344" w:rsidP="00987344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C61616">
        <w:rPr>
          <w:rFonts w:ascii="Calibri" w:hAnsi="Calibri"/>
          <w:b/>
          <w:sz w:val="40"/>
          <w:szCs w:val="40"/>
        </w:rPr>
        <w:t>ZIELONA GÓRA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4A0B2E">
        <w:rPr>
          <w:rFonts w:ascii="Calibri" w:hAnsi="Calibri"/>
          <w:b/>
          <w:sz w:val="40"/>
          <w:szCs w:val="40"/>
        </w:rPr>
        <w:t>2</w:t>
      </w:r>
      <w:r w:rsidR="00C61616">
        <w:rPr>
          <w:rFonts w:ascii="Calibri" w:hAnsi="Calibri"/>
          <w:b/>
          <w:sz w:val="40"/>
          <w:szCs w:val="40"/>
        </w:rPr>
        <w:t>7</w:t>
      </w:r>
      <w:r w:rsidR="0073386F">
        <w:rPr>
          <w:rFonts w:ascii="Calibri" w:hAnsi="Calibri"/>
          <w:b/>
          <w:sz w:val="40"/>
          <w:szCs w:val="40"/>
        </w:rPr>
        <w:t xml:space="preserve"> </w:t>
      </w:r>
      <w:r w:rsidR="004A0B2E">
        <w:rPr>
          <w:rFonts w:ascii="Calibri" w:hAnsi="Calibri"/>
          <w:b/>
          <w:sz w:val="40"/>
          <w:szCs w:val="40"/>
        </w:rPr>
        <w:t>marca</w:t>
      </w:r>
      <w:r w:rsidRPr="005D5002">
        <w:rPr>
          <w:rFonts w:ascii="Calibri" w:hAnsi="Calibri"/>
          <w:b/>
          <w:sz w:val="40"/>
          <w:szCs w:val="40"/>
        </w:rPr>
        <w:t xml:space="preserve">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49F946A" w14:textId="09132D8A" w:rsidR="008A5CA0" w:rsidRPr="00336C87" w:rsidRDefault="00E7666D" w:rsidP="00336C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8"/>
          <w:szCs w:val="18"/>
        </w:rPr>
      </w:pPr>
      <w:r w:rsidRPr="00336C87">
        <w:rPr>
          <w:rFonts w:ascii="Calibri" w:hAnsi="Calibri"/>
          <w:b/>
          <w:bCs/>
          <w:i/>
          <w:sz w:val="18"/>
          <w:szCs w:val="18"/>
        </w:rPr>
        <w:t>*Piotr Sperczyński</w:t>
      </w:r>
      <w:r w:rsidRPr="00336C87">
        <w:rPr>
          <w:rFonts w:ascii="Calibri" w:hAnsi="Calibri"/>
          <w:b/>
          <w:i/>
          <w:sz w:val="18"/>
          <w:szCs w:val="18"/>
        </w:rPr>
        <w:t xml:space="preserve"> – </w:t>
      </w:r>
      <w:r w:rsidRPr="00336C87">
        <w:rPr>
          <w:rFonts w:ascii="Calibri" w:hAnsi="Calibri"/>
          <w:i/>
          <w:sz w:val="18"/>
          <w:szCs w:val="18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336C87">
        <w:rPr>
          <w:rFonts w:ascii="Calibri" w:hAnsi="Calibri"/>
          <w:i/>
          <w:sz w:val="18"/>
          <w:szCs w:val="18"/>
        </w:rPr>
        <w:t xml:space="preserve"> </w:t>
      </w:r>
      <w:r w:rsidR="0073386F" w:rsidRPr="00336C87">
        <w:rPr>
          <w:rFonts w:ascii="Calibri" w:hAnsi="Calibri"/>
          <w:i/>
          <w:sz w:val="18"/>
          <w:szCs w:val="18"/>
        </w:rPr>
        <w:t>ponad</w:t>
      </w:r>
      <w:r w:rsidRPr="00336C87">
        <w:rPr>
          <w:rFonts w:ascii="Calibri" w:hAnsi="Calibri"/>
          <w:i/>
          <w:sz w:val="18"/>
          <w:szCs w:val="18"/>
        </w:rPr>
        <w:t xml:space="preserve"> 27 lat. W rankingach popularności osób prowadzących szkolenia niezmiennie zajmuje czołowe pozycje.</w:t>
      </w:r>
    </w:p>
    <w:p w14:paraId="1C8CE1BD" w14:textId="77777777" w:rsidR="00336C87" w:rsidRPr="00336C87" w:rsidRDefault="00336C87" w:rsidP="00336C87">
      <w:pPr>
        <w:pStyle w:val="Akapitzlist"/>
        <w:spacing w:after="160" w:line="259" w:lineRule="auto"/>
        <w:jc w:val="both"/>
        <w:rPr>
          <w:rFonts w:asciiTheme="minorHAnsi" w:hAnsiTheme="minorHAnsi"/>
          <w:b/>
          <w:bCs/>
          <w:sz w:val="10"/>
          <w:szCs w:val="10"/>
        </w:rPr>
      </w:pPr>
    </w:p>
    <w:p w14:paraId="4FC37354" w14:textId="31D03BA4" w:rsidR="00C10628" w:rsidRPr="00336C87" w:rsidRDefault="00CC692F" w:rsidP="00C1062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Ostatnie i nadchodzące zmiany w zamówieniach publicznych – praktyczne skutki dla postępowań i decyzji zamawiającego</w:t>
      </w:r>
      <w:r w:rsidR="00C10628" w:rsidRPr="00336C87">
        <w:rPr>
          <w:rFonts w:asciiTheme="minorHAnsi" w:hAnsiTheme="minorHAnsi"/>
          <w:b/>
          <w:bCs/>
          <w:sz w:val="19"/>
          <w:szCs w:val="19"/>
        </w:rPr>
        <w:t>:</w:t>
      </w:r>
    </w:p>
    <w:p w14:paraId="32CBDE0C" w14:textId="5F84FA1F" w:rsidR="00D459E6" w:rsidRPr="00336C87" w:rsidRDefault="00D459E6" w:rsidP="00F36B4F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podwyższenie progu stosowania ustawy PZP do 170 000 zł – wpływ na zakres obowiązków zamawiającego, dokumentowanie zakupów i odpowiedzialność pracowników</w:t>
      </w:r>
      <w:r w:rsidR="00F36B4F" w:rsidRPr="00336C87">
        <w:rPr>
          <w:rFonts w:asciiTheme="minorHAnsi" w:hAnsiTheme="minorHAnsi"/>
          <w:sz w:val="19"/>
          <w:szCs w:val="19"/>
        </w:rPr>
        <w:t xml:space="preserve"> -  </w:t>
      </w:r>
      <w:r w:rsidR="00C10628" w:rsidRPr="00336C87">
        <w:rPr>
          <w:rFonts w:asciiTheme="minorHAnsi" w:hAnsiTheme="minorHAnsi"/>
          <w:sz w:val="19"/>
          <w:szCs w:val="19"/>
        </w:rPr>
        <w:t>aktualizacja</w:t>
      </w:r>
      <w:r w:rsidRPr="00336C87">
        <w:rPr>
          <w:rFonts w:asciiTheme="minorHAnsi" w:hAnsiTheme="minorHAnsi"/>
          <w:sz w:val="19"/>
          <w:szCs w:val="19"/>
        </w:rPr>
        <w:t xml:space="preserve"> regulaminów wewnętrznych, procedur zakupowych i wzorów dokumentów</w:t>
      </w:r>
      <w:r w:rsidR="00C10628" w:rsidRPr="00336C87">
        <w:rPr>
          <w:rFonts w:asciiTheme="minorHAnsi" w:hAnsiTheme="minorHAnsi"/>
          <w:sz w:val="19"/>
          <w:szCs w:val="19"/>
        </w:rPr>
        <w:t xml:space="preserve"> – wskazówki praktyczne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18EA113A" w14:textId="3D7F0A41" w:rsidR="00F36B4F" w:rsidRPr="00336C87" w:rsidRDefault="00F36B4F" w:rsidP="00F36B4F">
      <w:pPr>
        <w:pStyle w:val="Akapitzlist"/>
        <w:numPr>
          <w:ilvl w:val="0"/>
          <w:numId w:val="27"/>
        </w:numPr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udział wykonawców z państw trzecich w postępowaniach o zamówienia publiczne - nowe ryzyka i rekomendacje UZP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51B0F7B1" w14:textId="1492675E" w:rsidR="00F36B4F" w:rsidRPr="00336C87" w:rsidRDefault="00336C87" w:rsidP="00F36B4F">
      <w:pPr>
        <w:pStyle w:val="Akapitzlist"/>
        <w:numPr>
          <w:ilvl w:val="0"/>
          <w:numId w:val="27"/>
        </w:numPr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c</w:t>
      </w:r>
      <w:r w:rsidR="00F36B4F" w:rsidRPr="00336C87">
        <w:rPr>
          <w:rFonts w:asciiTheme="minorHAnsi" w:hAnsiTheme="minorHAnsi"/>
          <w:sz w:val="19"/>
          <w:szCs w:val="19"/>
        </w:rPr>
        <w:t>ertyfikacja wykonawców nowy etap w weryfikacji podmiotowej - przygotowanie zamawiającego do nowych wymogów: procedury wewnętrzne, aktualizacja dokumentów</w:t>
      </w:r>
      <w:r>
        <w:rPr>
          <w:rFonts w:asciiTheme="minorHAnsi" w:hAnsiTheme="minorHAnsi"/>
          <w:sz w:val="19"/>
          <w:szCs w:val="19"/>
        </w:rPr>
        <w:t>;</w:t>
      </w:r>
    </w:p>
    <w:p w14:paraId="577FC691" w14:textId="1C5035E0" w:rsidR="00F36B4F" w:rsidRPr="00336C87" w:rsidRDefault="00F36B4F" w:rsidP="00F36B4F">
      <w:pPr>
        <w:pStyle w:val="Akapitzlist"/>
        <w:numPr>
          <w:ilvl w:val="0"/>
          <w:numId w:val="27"/>
        </w:numPr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Centralny Rejestr Umów Jednostek Sektora Finansów Publicznych - przygotowanie do wdrożenia</w:t>
      </w:r>
      <w:r w:rsidR="00336C87" w:rsidRPr="00336C87">
        <w:rPr>
          <w:rFonts w:asciiTheme="minorHAnsi" w:hAnsiTheme="minorHAnsi"/>
          <w:sz w:val="19"/>
          <w:szCs w:val="19"/>
        </w:rPr>
        <w:t>.</w:t>
      </w:r>
    </w:p>
    <w:p w14:paraId="31349CDB" w14:textId="1CE3CA72" w:rsidR="00D459E6" w:rsidRPr="00336C87" w:rsidRDefault="00C10628" w:rsidP="00C1062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Planowanie zamówień publicznych w 2026 roku – jak reagować</w:t>
      </w:r>
      <w:r w:rsidR="00CC692F" w:rsidRPr="00336C87">
        <w:rPr>
          <w:rFonts w:asciiTheme="minorHAnsi" w:hAnsiTheme="minorHAnsi"/>
          <w:b/>
          <w:bCs/>
          <w:sz w:val="19"/>
          <w:szCs w:val="19"/>
        </w:rPr>
        <w:t xml:space="preserve"> na zmiany </w:t>
      </w:r>
      <w:r w:rsidRPr="00336C87">
        <w:rPr>
          <w:rFonts w:asciiTheme="minorHAnsi" w:hAnsiTheme="minorHAnsi"/>
          <w:b/>
          <w:bCs/>
          <w:sz w:val="19"/>
          <w:szCs w:val="19"/>
        </w:rPr>
        <w:t>w trakcie roku?</w:t>
      </w:r>
    </w:p>
    <w:p w14:paraId="4A725646" w14:textId="4F9432AD" w:rsidR="00D459E6" w:rsidRPr="00336C87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obowiązki zamawiającego w zakresie sporządzenia i publikacji planu zamówień publicznych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1F6497AB" w14:textId="0368F32A" w:rsidR="00D459E6" w:rsidRPr="00336C87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prawidłowe szacowanie wartości zamówień: zamówienia powtarzalne i cykliczne, zamówienia mieszane, roboty budowlane i dokumentacja projektowa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711B4599" w14:textId="6C453D57" w:rsidR="00D459E6" w:rsidRPr="00336C87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 xml:space="preserve">analiza potrzeb i wymagań - jak sporządzić ją rzetelnie, użytecznie </w:t>
      </w:r>
      <w:r w:rsidR="00CC692F" w:rsidRPr="00336C87">
        <w:rPr>
          <w:rFonts w:asciiTheme="minorHAnsi" w:hAnsiTheme="minorHAnsi"/>
          <w:sz w:val="19"/>
          <w:szCs w:val="19"/>
        </w:rPr>
        <w:t>po zmianach</w:t>
      </w:r>
      <w:r w:rsidR="00336C87">
        <w:rPr>
          <w:rFonts w:asciiTheme="minorHAnsi" w:hAnsiTheme="minorHAnsi"/>
          <w:sz w:val="19"/>
          <w:szCs w:val="19"/>
        </w:rPr>
        <w:t>.</w:t>
      </w:r>
    </w:p>
    <w:p w14:paraId="24E1506A" w14:textId="77777777" w:rsidR="00230B93" w:rsidRPr="00336C87" w:rsidRDefault="00230B93" w:rsidP="00230B93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Postępowania poniżej i powyżej progów unijnych -  praktyczne wskazówki do bieżącej pracy w 2026 roku:</w:t>
      </w:r>
    </w:p>
    <w:p w14:paraId="72D6C06E" w14:textId="77777777" w:rsidR="00230B93" w:rsidRPr="00336C87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szacowanie wartości zamówienia oraz opisu przedmiotu zamówienia zgodnie z zasadą uczciwej konkurencji i proporcjonalności</w:t>
      </w:r>
      <w:r>
        <w:rPr>
          <w:rFonts w:asciiTheme="minorHAnsi" w:hAnsiTheme="minorHAnsi"/>
          <w:sz w:val="19"/>
          <w:szCs w:val="19"/>
        </w:rPr>
        <w:t>;</w:t>
      </w:r>
    </w:p>
    <w:p w14:paraId="33A13891" w14:textId="77777777" w:rsidR="00230B93" w:rsidRPr="00336C87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formułowanie warunków udziału w postępowaniu oraz kryteriów oceny ofert w świetle aktualnego orzecznictwa</w:t>
      </w:r>
      <w:r>
        <w:rPr>
          <w:rFonts w:asciiTheme="minorHAnsi" w:hAnsiTheme="minorHAnsi"/>
          <w:sz w:val="19"/>
          <w:szCs w:val="19"/>
        </w:rPr>
        <w:t>;</w:t>
      </w:r>
    </w:p>
    <w:p w14:paraId="4B03EF36" w14:textId="77777777" w:rsidR="00230B93" w:rsidRPr="00336C87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badanie i ocena ofert: wyjaśnienia treści oferty, poprawianie omyłek, rażąco niska cena</w:t>
      </w:r>
      <w:r>
        <w:rPr>
          <w:rFonts w:asciiTheme="minorHAnsi" w:hAnsiTheme="minorHAnsi"/>
          <w:sz w:val="19"/>
          <w:szCs w:val="19"/>
        </w:rPr>
        <w:t>;</w:t>
      </w:r>
    </w:p>
    <w:p w14:paraId="70FCD0F7" w14:textId="77777777" w:rsidR="00230B93" w:rsidRPr="00336C87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terminy w postępowaniach powyżej i poniżej progów unijnych i ich liczenie</w:t>
      </w:r>
      <w:r>
        <w:rPr>
          <w:rFonts w:asciiTheme="minorHAnsi" w:hAnsiTheme="minorHAnsi"/>
          <w:sz w:val="19"/>
          <w:szCs w:val="19"/>
        </w:rPr>
        <w:t>;</w:t>
      </w:r>
    </w:p>
    <w:p w14:paraId="54B45302" w14:textId="037B01E6" w:rsidR="00230B93" w:rsidRPr="00230B93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wykluczenie wykonawcy i odrzucenie oferty – najczęstsze błędy zamawiających</w:t>
      </w:r>
      <w:r>
        <w:rPr>
          <w:rFonts w:asciiTheme="minorHAnsi" w:hAnsiTheme="minorHAnsi"/>
          <w:sz w:val="19"/>
          <w:szCs w:val="19"/>
        </w:rPr>
        <w:t>.</w:t>
      </w:r>
    </w:p>
    <w:p w14:paraId="400D98C8" w14:textId="61C16E60" w:rsidR="00D459E6" w:rsidRPr="00336C87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Zamówienia do 170 000 zł w 2026 roku – procedura bezpieczna i odporna na zarzuty</w:t>
      </w:r>
      <w:r w:rsidR="00CC692F" w:rsidRPr="00336C87">
        <w:rPr>
          <w:rFonts w:asciiTheme="minorHAnsi" w:hAnsiTheme="minorHAnsi"/>
          <w:b/>
          <w:bCs/>
          <w:sz w:val="19"/>
          <w:szCs w:val="19"/>
        </w:rPr>
        <w:t>:</w:t>
      </w:r>
    </w:p>
    <w:p w14:paraId="64AB0121" w14:textId="374F1D74" w:rsidR="00D459E6" w:rsidRPr="00336C87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prowadzenie zamówień podprogowych po podwyższeniu progu – zakres swobody zamawiającego a obowiązki dokumentacyjne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0F572BFA" w14:textId="7129C5E0" w:rsidR="00D459E6" w:rsidRPr="00336C87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prawidłowe dokumentowanie rozeznania rynku i wyboru wykonawcy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1E3ED942" w14:textId="6A99214D" w:rsidR="00D459E6" w:rsidRPr="00336C87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formułowanie kryteriów oceny ofert i zapewnienie przejrzystości procedury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6C217EBC" w14:textId="0F9F7BCA" w:rsidR="00D459E6" w:rsidRPr="00336C87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umowy do 170 000 zł – zawieranie, zmiany, aneksy i ich granice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58FA8DAA" w14:textId="1A676327" w:rsidR="00336C87" w:rsidRPr="00336C87" w:rsidRDefault="00D459E6" w:rsidP="00336C87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zamówienia do 170 000 zł a obowiązki sprawozdawcze i Centralny Rejestr Umów</w:t>
      </w:r>
      <w:r w:rsidR="00CC692F" w:rsidRPr="00336C87">
        <w:rPr>
          <w:rFonts w:asciiTheme="minorHAnsi" w:hAnsiTheme="minorHAnsi"/>
          <w:sz w:val="19"/>
          <w:szCs w:val="19"/>
        </w:rPr>
        <w:t>.</w:t>
      </w:r>
    </w:p>
    <w:p w14:paraId="1F3006CA" w14:textId="7C91EEE1" w:rsidR="00D459E6" w:rsidRPr="00336C87" w:rsidRDefault="00D459E6" w:rsidP="00D25EFD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Calibri"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Podsumowanie szkolenia. Omówienie najczęstszych problemów i wątpliwości zgłaszanych przez uczestników</w:t>
      </w:r>
    </w:p>
    <w:p w14:paraId="390D8DC2" w14:textId="77777777" w:rsidR="005D5002" w:rsidRPr="00D459E6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  <w:sectPr w:rsidR="005D5002" w:rsidRPr="00D459E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66E42DCE" w14:textId="77777777" w:rsidR="00D459E6" w:rsidRDefault="00D459E6" w:rsidP="00D459E6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„</w:t>
      </w:r>
      <w:r w:rsidRPr="00D459E6">
        <w:rPr>
          <w:rFonts w:ascii="Calibri" w:hAnsi="Calibri"/>
          <w:b/>
          <w:sz w:val="40"/>
          <w:szCs w:val="40"/>
        </w:rPr>
        <w:t xml:space="preserve">Zamówienia publiczne 2026 krok po kroku - co zrobić </w:t>
      </w:r>
    </w:p>
    <w:p w14:paraId="5ABE1785" w14:textId="77777777" w:rsidR="00D459E6" w:rsidRPr="00D459E6" w:rsidRDefault="00D459E6" w:rsidP="00D459E6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D459E6">
        <w:rPr>
          <w:rFonts w:ascii="Calibri" w:hAnsi="Calibri"/>
          <w:b/>
          <w:sz w:val="40"/>
          <w:szCs w:val="40"/>
        </w:rPr>
        <w:t>na początku roku, żeby nie nadrabiać przez cały rok</w:t>
      </w:r>
      <w:r>
        <w:rPr>
          <w:rFonts w:ascii="Calibri" w:hAnsi="Calibri"/>
          <w:b/>
          <w:sz w:val="40"/>
          <w:szCs w:val="40"/>
        </w:rPr>
        <w:t>?”</w:t>
      </w:r>
    </w:p>
    <w:p w14:paraId="0E1BEBA8" w14:textId="77777777" w:rsidR="00347662" w:rsidRPr="003D51B0" w:rsidRDefault="00347662" w:rsidP="001A3042">
      <w:pPr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602C3C95" w14:textId="1065D295" w:rsidR="00987344" w:rsidRPr="00C23A45" w:rsidRDefault="004A0B2E" w:rsidP="00987344">
      <w:pPr>
        <w:suppressAutoHyphens/>
        <w:ind w:left="-567" w:right="-567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</w:t>
      </w:r>
      <w:r w:rsidR="00C61616">
        <w:rPr>
          <w:rFonts w:ascii="Arial Narrow" w:hAnsi="Arial Narrow"/>
          <w:b/>
          <w:sz w:val="28"/>
          <w:szCs w:val="28"/>
        </w:rPr>
        <w:t>7</w:t>
      </w:r>
      <w:r>
        <w:rPr>
          <w:rFonts w:ascii="Arial Narrow" w:hAnsi="Arial Narrow"/>
          <w:b/>
          <w:sz w:val="28"/>
          <w:szCs w:val="28"/>
        </w:rPr>
        <w:t xml:space="preserve"> marca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C61616">
        <w:rPr>
          <w:rFonts w:ascii="Arial Narrow" w:hAnsi="Arial Narrow"/>
          <w:b/>
          <w:sz w:val="36"/>
          <w:szCs w:val="36"/>
        </w:rPr>
        <w:t>ZIELONA GÓRA</w:t>
      </w:r>
      <w:r>
        <w:rPr>
          <w:rFonts w:ascii="Arial Narrow" w:hAnsi="Arial Narrow"/>
          <w:b/>
          <w:sz w:val="36"/>
          <w:szCs w:val="36"/>
        </w:rPr>
        <w:t xml:space="preserve">, Hotel </w:t>
      </w:r>
      <w:proofErr w:type="spellStart"/>
      <w:r w:rsidR="00C61616">
        <w:rPr>
          <w:rFonts w:ascii="Arial Narrow" w:hAnsi="Arial Narrow"/>
          <w:b/>
          <w:sz w:val="36"/>
          <w:szCs w:val="36"/>
        </w:rPr>
        <w:t>Qubus</w:t>
      </w:r>
      <w:proofErr w:type="spellEnd"/>
      <w:r w:rsidR="00601855">
        <w:rPr>
          <w:rFonts w:ascii="Arial Narrow" w:hAnsi="Arial Narrow"/>
          <w:b/>
          <w:sz w:val="36"/>
          <w:szCs w:val="36"/>
        </w:rPr>
        <w:t>,</w:t>
      </w:r>
      <w:r w:rsidR="00132E5E">
        <w:rPr>
          <w:rFonts w:ascii="Arial Narrow" w:hAnsi="Arial Narrow"/>
          <w:b/>
          <w:sz w:val="36"/>
          <w:szCs w:val="36"/>
        </w:rPr>
        <w:t xml:space="preserve"> </w:t>
      </w:r>
      <w:r w:rsidR="00336C87">
        <w:rPr>
          <w:rFonts w:ascii="Arial Narrow" w:hAnsi="Arial Narrow"/>
          <w:b/>
          <w:sz w:val="36"/>
          <w:szCs w:val="36"/>
        </w:rPr>
        <w:t>u</w:t>
      </w:r>
      <w:r w:rsidR="00601855">
        <w:rPr>
          <w:rFonts w:ascii="Arial Narrow" w:hAnsi="Arial Narrow"/>
          <w:b/>
          <w:sz w:val="36"/>
          <w:szCs w:val="36"/>
        </w:rPr>
        <w:t>l.</w:t>
      </w:r>
      <w:r w:rsidR="00C61616">
        <w:rPr>
          <w:rFonts w:ascii="Arial Narrow" w:hAnsi="Arial Narrow"/>
          <w:b/>
          <w:sz w:val="36"/>
          <w:szCs w:val="36"/>
        </w:rPr>
        <w:t xml:space="preserve"> Ceglana 14a</w:t>
      </w:r>
      <w:r w:rsidR="00987344">
        <w:rPr>
          <w:rFonts w:ascii="Arial Narrow" w:hAnsi="Arial Narrow"/>
          <w:b/>
          <w:sz w:val="28"/>
          <w:szCs w:val="28"/>
        </w:rPr>
        <w:t xml:space="preserve">, 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godz. </w:t>
      </w:r>
      <w:r w:rsidR="00601855">
        <w:rPr>
          <w:rFonts w:ascii="Arial Narrow" w:hAnsi="Arial Narrow"/>
          <w:b/>
          <w:sz w:val="28"/>
          <w:szCs w:val="28"/>
        </w:rPr>
        <w:t>9</w:t>
      </w:r>
      <w:r w:rsidR="00987344" w:rsidRPr="007D0D74">
        <w:rPr>
          <w:rFonts w:ascii="Arial Narrow" w:hAnsi="Arial Narrow"/>
          <w:b/>
          <w:sz w:val="28"/>
          <w:szCs w:val="28"/>
        </w:rPr>
        <w:t>.30-1</w:t>
      </w:r>
      <w:r w:rsidR="00601855">
        <w:rPr>
          <w:rFonts w:ascii="Arial Narrow" w:hAnsi="Arial Narrow"/>
          <w:b/>
          <w:sz w:val="28"/>
          <w:szCs w:val="28"/>
        </w:rPr>
        <w:t>5</w:t>
      </w:r>
      <w:r w:rsidR="00987344" w:rsidRPr="007D0D74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987344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66DBD56C" w14:textId="77777777" w:rsidR="00987344" w:rsidRDefault="00987344" w:rsidP="00987344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1A978400" w14:textId="77777777" w:rsidR="00987344" w:rsidRPr="00B11F4E" w:rsidRDefault="00987344" w:rsidP="00987344">
      <w:pPr>
        <w:pStyle w:val="Tekstpodstawowy"/>
        <w:ind w:left="284" w:hanging="284"/>
        <w:rPr>
          <w:rFonts w:ascii="Calibri" w:hAnsi="Calibri"/>
          <w:sz w:val="10"/>
          <w:szCs w:val="2"/>
        </w:rPr>
      </w:pPr>
    </w:p>
    <w:p w14:paraId="41AFBFD4" w14:textId="77777777" w:rsidR="00987344" w:rsidRDefault="00987344" w:rsidP="00987344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CE8C20" w14:textId="77777777" w:rsidR="00987344" w:rsidRDefault="00987344" w:rsidP="00987344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4AE2A2E2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738F8A4C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64B96969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380DDF40" w14:textId="77777777" w:rsidR="00987344" w:rsidRPr="00E97239" w:rsidRDefault="00987344" w:rsidP="00987344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...........................................................................</w:t>
      </w:r>
      <w:r w:rsidRPr="00F95028">
        <w:rPr>
          <w:rFonts w:ascii="Calibri" w:hAnsi="Calibri"/>
          <w:sz w:val="21"/>
          <w:szCs w:val="21"/>
        </w:rPr>
        <w:t xml:space="preserve">...... </w:t>
      </w: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073A68A1" w14:textId="77777777" w:rsidR="00987344" w:rsidRDefault="00987344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28264A9" w14:textId="77777777" w:rsidR="0078769E" w:rsidRPr="00EE3A30" w:rsidRDefault="0078769E" w:rsidP="0078769E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6F5C8906" w14:textId="77777777" w:rsidR="0078769E" w:rsidRPr="00EE3A30" w:rsidRDefault="0078769E" w:rsidP="0078769E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4C019F05" w14:textId="77777777" w:rsidR="00DD4FFE" w:rsidRPr="0078769E" w:rsidRDefault="0078769E" w:rsidP="0078769E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DD4FFE" w:rsidRPr="0078769E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AD99" w14:textId="77777777" w:rsidR="008B6295" w:rsidRDefault="008B6295">
      <w:r>
        <w:separator/>
      </w:r>
    </w:p>
  </w:endnote>
  <w:endnote w:type="continuationSeparator" w:id="0">
    <w:p w14:paraId="75B151A5" w14:textId="77777777" w:rsidR="008B6295" w:rsidRDefault="008B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C61616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C61616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E4EA" w14:textId="77777777" w:rsidR="008B6295" w:rsidRDefault="008B6295">
      <w:r>
        <w:separator/>
      </w:r>
    </w:p>
  </w:footnote>
  <w:footnote w:type="continuationSeparator" w:id="0">
    <w:p w14:paraId="605D5111" w14:textId="77777777" w:rsidR="008B6295" w:rsidRDefault="008B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33"/>
  </w:num>
  <w:num w:numId="3" w16cid:durableId="1311132059">
    <w:abstractNumId w:val="14"/>
  </w:num>
  <w:num w:numId="4" w16cid:durableId="325865435">
    <w:abstractNumId w:val="21"/>
  </w:num>
  <w:num w:numId="5" w16cid:durableId="947202753">
    <w:abstractNumId w:val="28"/>
  </w:num>
  <w:num w:numId="6" w16cid:durableId="1827932984">
    <w:abstractNumId w:val="29"/>
  </w:num>
  <w:num w:numId="7" w16cid:durableId="420563469">
    <w:abstractNumId w:val="19"/>
  </w:num>
  <w:num w:numId="8" w16cid:durableId="303657811">
    <w:abstractNumId w:val="13"/>
  </w:num>
  <w:num w:numId="9" w16cid:durableId="105926556">
    <w:abstractNumId w:val="32"/>
  </w:num>
  <w:num w:numId="10" w16cid:durableId="1368410240">
    <w:abstractNumId w:val="10"/>
  </w:num>
  <w:num w:numId="11" w16cid:durableId="465391034">
    <w:abstractNumId w:val="34"/>
  </w:num>
  <w:num w:numId="12" w16cid:durableId="740104997">
    <w:abstractNumId w:val="16"/>
  </w:num>
  <w:num w:numId="13" w16cid:durableId="102921760">
    <w:abstractNumId w:val="15"/>
  </w:num>
  <w:num w:numId="14" w16cid:durableId="172965114">
    <w:abstractNumId w:val="20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27"/>
  </w:num>
  <w:num w:numId="18" w16cid:durableId="1190529022">
    <w:abstractNumId w:val="17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31"/>
  </w:num>
  <w:num w:numId="22" w16cid:durableId="816342164">
    <w:abstractNumId w:val="24"/>
  </w:num>
  <w:num w:numId="23" w16cid:durableId="1589196557">
    <w:abstractNumId w:val="9"/>
  </w:num>
  <w:num w:numId="24" w16cid:durableId="957838148">
    <w:abstractNumId w:val="22"/>
  </w:num>
  <w:num w:numId="25" w16cid:durableId="1410884809">
    <w:abstractNumId w:val="26"/>
  </w:num>
  <w:num w:numId="26" w16cid:durableId="196940141">
    <w:abstractNumId w:val="7"/>
  </w:num>
  <w:num w:numId="27" w16cid:durableId="881481351">
    <w:abstractNumId w:val="18"/>
  </w:num>
  <w:num w:numId="28" w16cid:durableId="1411921747">
    <w:abstractNumId w:val="23"/>
  </w:num>
  <w:num w:numId="29" w16cid:durableId="832184688">
    <w:abstractNumId w:val="25"/>
  </w:num>
  <w:num w:numId="30" w16cid:durableId="3559265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16654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295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616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2026-02-23T11:54:00Z</dcterms:created>
  <dcterms:modified xsi:type="dcterms:W3CDTF">2026-02-23T11:54:00Z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