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D1782A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51949093" w14:textId="77777777" w:rsidR="0083794D" w:rsidRDefault="00F20C89" w:rsidP="0083794D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>„</w:t>
      </w:r>
      <w:r w:rsidR="00000A97" w:rsidRPr="0083794D">
        <w:rPr>
          <w:rFonts w:ascii="Calibri" w:hAnsi="Calibri" w:cs="Calibri"/>
          <w:b/>
          <w:sz w:val="40"/>
          <w:szCs w:val="40"/>
        </w:rPr>
        <w:t>Zamówienia współfinansowane z UE 2021–2027 – prawidłowość postępowań, najczęstsze naruszenia i korekty finansowe</w:t>
      </w:r>
    </w:p>
    <w:p w14:paraId="1BFBA9EB" w14:textId="27250098" w:rsidR="00F20C89" w:rsidRPr="0083794D" w:rsidRDefault="00000A97" w:rsidP="0083794D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 xml:space="preserve"> po  zmianach PZP 2025–2026</w:t>
      </w:r>
      <w:r w:rsidR="00D25ECF" w:rsidRPr="0083794D">
        <w:rPr>
          <w:rFonts w:ascii="Calibri" w:hAnsi="Calibri" w:cs="Calibri"/>
          <w:b/>
          <w:sz w:val="40"/>
          <w:szCs w:val="40"/>
        </w:rPr>
        <w:t>.</w:t>
      </w:r>
      <w:r w:rsidR="00F20C89" w:rsidRPr="0083794D">
        <w:rPr>
          <w:rFonts w:ascii="Calibri" w:hAnsi="Calibri" w:cs="Calibri"/>
          <w:b/>
          <w:sz w:val="40"/>
          <w:szCs w:val="40"/>
        </w:rPr>
        <w:t>”</w:t>
      </w:r>
    </w:p>
    <w:p w14:paraId="2B3FB8AF" w14:textId="6F351801" w:rsidR="00461898" w:rsidRDefault="00461898" w:rsidP="00461898">
      <w:pPr>
        <w:pStyle w:val="Tekstpodstawowywcity3"/>
        <w:spacing w:after="2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A350CD">
        <w:rPr>
          <w:rFonts w:ascii="Calibri" w:hAnsi="Calibri" w:cs="Calibri"/>
          <w:b/>
          <w:sz w:val="36"/>
        </w:rPr>
        <w:t>ONLINE</w:t>
      </w:r>
      <w:r>
        <w:rPr>
          <w:rFonts w:ascii="Calibri" w:hAnsi="Calibri" w:cs="Calibri"/>
          <w:b/>
          <w:sz w:val="36"/>
        </w:rPr>
        <w:t>,</w:t>
      </w:r>
      <w:r w:rsidR="00000A97">
        <w:rPr>
          <w:rFonts w:ascii="Calibri" w:hAnsi="Calibri" w:cs="Calibri"/>
          <w:b/>
          <w:sz w:val="36"/>
        </w:rPr>
        <w:t xml:space="preserve"> </w:t>
      </w:r>
      <w:r w:rsidR="00A350CD">
        <w:rPr>
          <w:rFonts w:ascii="Calibri" w:hAnsi="Calibri" w:cs="Calibri"/>
          <w:b/>
          <w:sz w:val="36"/>
        </w:rPr>
        <w:t>3 czerwca</w:t>
      </w:r>
      <w:r w:rsidR="00000A97">
        <w:rPr>
          <w:rFonts w:ascii="Calibri" w:hAnsi="Calibri" w:cs="Calibri"/>
          <w:b/>
          <w:sz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2026</w:t>
      </w:r>
    </w:p>
    <w:p w14:paraId="7554967D" w14:textId="3B52BE63" w:rsidR="001C1A44" w:rsidRPr="0083794D" w:rsidRDefault="00DC5735" w:rsidP="00796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i/>
        </w:rPr>
      </w:pPr>
      <w:r w:rsidRPr="0083794D">
        <w:rPr>
          <w:rFonts w:ascii="Calibri" w:hAnsi="Calibri" w:cs="Calibri"/>
          <w:b/>
          <w:i/>
        </w:rPr>
        <w:t>*</w:t>
      </w:r>
      <w:r w:rsidR="007968EB" w:rsidRPr="0083794D">
        <w:rPr>
          <w:rFonts w:ascii="Calibri" w:hAnsi="Calibri" w:cs="Calibri"/>
          <w:b/>
          <w:i/>
        </w:rPr>
        <w:t xml:space="preserve">mec. Łukasz Bochenek </w:t>
      </w:r>
      <w:r w:rsidR="007968EB" w:rsidRPr="0083794D">
        <w:rPr>
          <w:rFonts w:ascii="Calibri" w:hAnsi="Calibri" w:cs="Calibri"/>
          <w:bCs/>
          <w:i/>
        </w:rPr>
        <w:t>– adwokat, partner w kancelarii Bochenek, Sosnowska-Łozińska Adwokaci i Radcy Prawni Spółka Partnerska. Doradca w pracach nadzwyczajnej komisji do rozpatrzenia rządowego projektu ustawy o zmianie ustawy – Prawo zamówień publicznych oraz niektórych innych ustaw. Posiada wieloletnie doświadczenie w zakresie zamówień publicznych, uczestnicząc w setkach postępowań o udzielenie zamówienia publicznego. Obecnie zajmuje się obsługą prawną instytucji publicznych oraz podmiotów gospodarczych, przede wszystkim w obszarze zamówień publicznych oraz realizacji projektów dofinansowanych ze środków UE. Występuje jako pełnomocnik w postępowaniach odwoławczych przed Krajową Izbą Odwoławczą oraz Sądem Okręgowym w Warszawie. Przygotowuje opinie prawne i ekspertyzy, a także prowadzi postępowania w zakresie zamówień publicznych. Jest również doświadczonym trenerem zamówień publicznych, cenionym za ogromną wiedzę połączoną z</w:t>
      </w:r>
      <w:r w:rsidR="00BD547B">
        <w:rPr>
          <w:rFonts w:ascii="Calibri" w:hAnsi="Calibri" w:cs="Calibri"/>
          <w:bCs/>
          <w:i/>
        </w:rPr>
        <w:t> </w:t>
      </w:r>
      <w:r w:rsidR="007968EB" w:rsidRPr="0083794D">
        <w:rPr>
          <w:rFonts w:ascii="Calibri" w:hAnsi="Calibri" w:cs="Calibri"/>
          <w:bCs/>
          <w:i/>
        </w:rPr>
        <w:t>praktycznym doświadczeniem.</w:t>
      </w:r>
    </w:p>
    <w:p w14:paraId="491E412E" w14:textId="77777777" w:rsidR="001C1A44" w:rsidRPr="00EF19BE" w:rsidRDefault="001C1A44" w:rsidP="00EF19BE">
      <w:pPr>
        <w:suppressAutoHyphens/>
        <w:ind w:left="502"/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28B760A6" w14:textId="77777777" w:rsidR="00EF19BE" w:rsidRPr="00EF19BE" w:rsidRDefault="00EF19BE" w:rsidP="00EF19BE">
      <w:pPr>
        <w:suppressAutoHyphens/>
        <w:ind w:left="499"/>
        <w:jc w:val="both"/>
        <w:rPr>
          <w:rFonts w:ascii="Calibri Light" w:hAnsi="Calibri Light" w:cs="Calibri Light"/>
          <w:b/>
          <w:bCs/>
          <w:color w:val="000000"/>
          <w:sz w:val="2"/>
          <w:szCs w:val="2"/>
        </w:rPr>
      </w:pPr>
    </w:p>
    <w:p w14:paraId="7DE73D1A" w14:textId="77777777" w:rsidR="00DC5735" w:rsidRPr="00D25ECF" w:rsidRDefault="00DC5735" w:rsidP="007968EB">
      <w:pPr>
        <w:numPr>
          <w:ilvl w:val="0"/>
          <w:numId w:val="31"/>
        </w:numPr>
        <w:suppressAutoHyphens/>
        <w:jc w:val="both"/>
        <w:rPr>
          <w:rFonts w:ascii="Calibri" w:hAnsi="Calibri" w:cs="Calibri"/>
          <w:b/>
          <w:bCs/>
          <w:color w:val="000000"/>
          <w:sz w:val="22"/>
          <w:szCs w:val="22"/>
        </w:rPr>
        <w:sectPr w:rsidR="00DC5735" w:rsidRPr="00D25ECF" w:rsidSect="00BB772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2013DEF" w14:textId="77777777" w:rsidR="00000A97" w:rsidRPr="00000A97" w:rsidRDefault="00000A97" w:rsidP="0083794D">
      <w:pPr>
        <w:pStyle w:val="Indeks"/>
        <w:numPr>
          <w:ilvl w:val="0"/>
          <w:numId w:val="41"/>
        </w:numPr>
        <w:spacing w:before="120"/>
        <w:ind w:left="714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Wprowadzenie</w:t>
      </w:r>
    </w:p>
    <w:p w14:paraId="24B1C8BA" w14:textId="77777777" w:rsidR="00000A97" w:rsidRPr="00000A97" w:rsidRDefault="00000A97" w:rsidP="00000A97">
      <w:pPr>
        <w:pStyle w:val="Indeks"/>
        <w:numPr>
          <w:ilvl w:val="0"/>
          <w:numId w:val="42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Kompleksowe omówienie zmian w zamówieniach publicznych w latach 2025–2026 – co się zmieniło, od kiedy obowiązuje i jak stosować nowe przepisy w praktyce.</w:t>
      </w:r>
    </w:p>
    <w:p w14:paraId="536E454F" w14:textId="4F1D14B4" w:rsidR="00000A97" w:rsidRPr="00000A97" w:rsidRDefault="00000A97" w:rsidP="00000A97">
      <w:pPr>
        <w:pStyle w:val="Indeks"/>
        <w:numPr>
          <w:ilvl w:val="0"/>
          <w:numId w:val="42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Wpływ zmian na codzienną pracę zamawiających – gdzie pojawiają się największe ryzyka, w tym w</w:t>
      </w:r>
      <w:r w:rsidR="0083794D">
        <w:rPr>
          <w:rFonts w:ascii="Calibri" w:hAnsi="Calibri" w:cs="Calibri"/>
          <w:bCs/>
          <w:sz w:val="24"/>
          <w:szCs w:val="24"/>
        </w:rPr>
        <w:t> </w:t>
      </w:r>
      <w:r w:rsidRPr="00000A97">
        <w:rPr>
          <w:rFonts w:ascii="Calibri" w:hAnsi="Calibri" w:cs="Calibri"/>
          <w:bCs/>
          <w:sz w:val="24"/>
          <w:szCs w:val="24"/>
        </w:rPr>
        <w:t>projektach UE.</w:t>
      </w:r>
    </w:p>
    <w:p w14:paraId="4865DB50" w14:textId="77777777" w:rsidR="00000A97" w:rsidRPr="00000A97" w:rsidRDefault="00000A97" w:rsidP="0083794D">
      <w:pPr>
        <w:pStyle w:val="Indeks"/>
        <w:numPr>
          <w:ilvl w:val="0"/>
          <w:numId w:val="42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Porównanie postępowań poniżej i powyżej progów unijnych po zmianach. </w:t>
      </w:r>
    </w:p>
    <w:p w14:paraId="069B7052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Wykonawcy z państw trzecich (zmiany od 9 września 2025 r.)</w:t>
      </w:r>
    </w:p>
    <w:p w14:paraId="1430AE9E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Ograniczenie dostępu wykonawców spoza UE/GPA – kiedy i jak można je stosować w zamówieniach UE i krajowych.</w:t>
      </w:r>
    </w:p>
    <w:p w14:paraId="2AA7990C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Decyzja zamawiającego o dopuszczeniu wykonawców i jej prawidłowe ujęcie w SWZ.</w:t>
      </w:r>
    </w:p>
    <w:p w14:paraId="7AA73D4B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Problemy praktyczne: konsorcja mieszane, ustalanie statusu wykonawcy, wymagane dokumenty.</w:t>
      </w:r>
    </w:p>
    <w:p w14:paraId="7CE76193" w14:textId="77777777" w:rsidR="00000A97" w:rsidRPr="00000A97" w:rsidRDefault="00000A97" w:rsidP="0083794D">
      <w:pPr>
        <w:pStyle w:val="Indeks"/>
        <w:numPr>
          <w:ilvl w:val="0"/>
          <w:numId w:val="43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 i ryzyka – brak zapisów w SWZ, nieprawidłowe dopuszczenie lub wykluczenie wykonawcy, błędy w ocenie konsorcjów i ich konsekwencje. </w:t>
      </w:r>
    </w:p>
    <w:p w14:paraId="53974401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Podwyższenie progu stosowania ustawy do 170 000 zł (od 1 stycznia 2026 r.)</w:t>
      </w:r>
    </w:p>
    <w:p w14:paraId="6D18C116" w14:textId="77777777" w:rsidR="00000A97" w:rsidRPr="00000A97" w:rsidRDefault="00000A97" w:rsidP="00000A97">
      <w:pPr>
        <w:pStyle w:val="Indeks"/>
        <w:numPr>
          <w:ilvl w:val="0"/>
          <w:numId w:val="44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Większa liczba zamówień poza PZP – konsekwencje dla organizacji pracy zamawiającego.</w:t>
      </w:r>
    </w:p>
    <w:p w14:paraId="69B46A51" w14:textId="77777777" w:rsidR="00000A97" w:rsidRPr="00000A97" w:rsidRDefault="00000A97" w:rsidP="00000A97">
      <w:pPr>
        <w:pStyle w:val="Indeks"/>
        <w:numPr>
          <w:ilvl w:val="0"/>
          <w:numId w:val="44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Konieczność aktualizacji regulaminów i planów zamówień.</w:t>
      </w:r>
    </w:p>
    <w:p w14:paraId="495F930C" w14:textId="77777777" w:rsidR="00000A97" w:rsidRPr="00000A97" w:rsidRDefault="00000A97" w:rsidP="0083794D">
      <w:pPr>
        <w:pStyle w:val="Indeks"/>
        <w:numPr>
          <w:ilvl w:val="0"/>
          <w:numId w:val="44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Ryzyka: błędna kwalifikacja zamówienia, dzielenie zamówień, brak kontroli wydatków. </w:t>
      </w:r>
    </w:p>
    <w:p w14:paraId="7299033B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Analiza potrzeb i wymagań – nowy standard przygotowania postępowania</w:t>
      </w:r>
    </w:p>
    <w:p w14:paraId="731DE066" w14:textId="54E92EA5" w:rsidR="00000A97" w:rsidRPr="00000A97" w:rsidRDefault="00000A97" w:rsidP="00000A97">
      <w:pPr>
        <w:pStyle w:val="Indeks"/>
        <w:numPr>
          <w:ilvl w:val="0"/>
          <w:numId w:val="4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Obowiązek realnej analizy rynku i dokumentowania przygotowania postępowania, w tym w projektach UE.</w:t>
      </w:r>
    </w:p>
    <w:p w14:paraId="5C368D88" w14:textId="77777777" w:rsidR="00000A97" w:rsidRPr="00000A97" w:rsidRDefault="00000A97" w:rsidP="00000A97">
      <w:pPr>
        <w:pStyle w:val="Indeks"/>
        <w:numPr>
          <w:ilvl w:val="0"/>
          <w:numId w:val="4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Jak przygotować analizę, aby wytrzymała kontrolę i uniknąć korekt finansowych.</w:t>
      </w:r>
    </w:p>
    <w:p w14:paraId="33E08A93" w14:textId="77777777" w:rsidR="00000A97" w:rsidRDefault="00000A97" w:rsidP="0083794D">
      <w:pPr>
        <w:pStyle w:val="Indeks"/>
        <w:numPr>
          <w:ilvl w:val="0"/>
          <w:numId w:val="45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błędy: analiza „na papierze”, brak dokumentów, kopiowanie OPZ. </w:t>
      </w:r>
    </w:p>
    <w:p w14:paraId="035F42F0" w14:textId="77777777" w:rsidR="0083794D" w:rsidRPr="00000A97" w:rsidRDefault="0083794D" w:rsidP="0083794D">
      <w:pPr>
        <w:pStyle w:val="Indeks"/>
        <w:spacing w:after="60"/>
        <w:jc w:val="both"/>
        <w:rPr>
          <w:rFonts w:ascii="Calibri" w:hAnsi="Calibri" w:cs="Calibri"/>
          <w:bCs/>
          <w:sz w:val="24"/>
          <w:szCs w:val="24"/>
        </w:rPr>
      </w:pPr>
    </w:p>
    <w:p w14:paraId="4DAF5EDD" w14:textId="77777777" w:rsidR="0083794D" w:rsidRDefault="0083794D" w:rsidP="0083794D">
      <w:pPr>
        <w:pStyle w:val="Indeks"/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310005" w14:textId="00D02F33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Deregulacja i przepisy przejściowe (od 13 marca 2026 r.)</w:t>
      </w:r>
    </w:p>
    <w:p w14:paraId="1ADA98C2" w14:textId="77777777" w:rsidR="00000A97" w:rsidRPr="00000A97" w:rsidRDefault="00000A97" w:rsidP="00000A97">
      <w:pPr>
        <w:pStyle w:val="Indeks"/>
        <w:numPr>
          <w:ilvl w:val="0"/>
          <w:numId w:val="4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Zmiany w postępowaniu odwoławczym – praktyczne konsekwencje dla projektów UE.</w:t>
      </w:r>
    </w:p>
    <w:p w14:paraId="4CF74A22" w14:textId="42EC5D9D" w:rsidR="0083794D" w:rsidRPr="00000A97" w:rsidRDefault="00000A97" w:rsidP="0083794D">
      <w:pPr>
        <w:pStyle w:val="Indeks"/>
        <w:numPr>
          <w:ilvl w:val="0"/>
          <w:numId w:val="4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Stosowanie przepisów przejściowych – jak rozróżniać postępowania „stare” i „nowe”.</w:t>
      </w:r>
    </w:p>
    <w:p w14:paraId="0FF34318" w14:textId="77777777" w:rsidR="00000A97" w:rsidRPr="00000A97" w:rsidRDefault="00000A97" w:rsidP="0083794D">
      <w:pPr>
        <w:pStyle w:val="Indeks"/>
        <w:numPr>
          <w:ilvl w:val="0"/>
          <w:numId w:val="46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 i ryzyka: chaos w dokumentacji, błędne stosowanie przepisów. </w:t>
      </w:r>
    </w:p>
    <w:p w14:paraId="0261B974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000A97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000A97">
        <w:rPr>
          <w:rFonts w:ascii="Calibri" w:hAnsi="Calibri" w:cs="Calibri"/>
          <w:b/>
          <w:bCs/>
          <w:sz w:val="24"/>
          <w:szCs w:val="24"/>
        </w:rPr>
        <w:t xml:space="preserve"> w zamówieniach publicznych (od 3 kwietnia 2026 r.)</w:t>
      </w:r>
    </w:p>
    <w:p w14:paraId="7A14406C" w14:textId="585345D2" w:rsidR="00000A97" w:rsidRPr="00000A97" w:rsidRDefault="00000A97" w:rsidP="00000A97">
      <w:pPr>
        <w:pStyle w:val="Indeks"/>
        <w:numPr>
          <w:ilvl w:val="0"/>
          <w:numId w:val="4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Nowe podstawy odrzucenia ofert dotyczących produktów i usług ICT wysokiego ryzyka, w tym dla projektów UE</w:t>
      </w:r>
      <w:r w:rsidRPr="0083794D">
        <w:rPr>
          <w:rFonts w:ascii="Calibri" w:hAnsi="Calibri" w:cs="Calibri"/>
          <w:bCs/>
          <w:sz w:val="24"/>
          <w:szCs w:val="24"/>
        </w:rPr>
        <w:t>.</w:t>
      </w:r>
    </w:p>
    <w:p w14:paraId="75F872A8" w14:textId="77777777" w:rsidR="00000A97" w:rsidRPr="00000A97" w:rsidRDefault="00000A97" w:rsidP="00000A97">
      <w:pPr>
        <w:pStyle w:val="Indeks"/>
        <w:numPr>
          <w:ilvl w:val="0"/>
          <w:numId w:val="4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Wpływ decyzji o wykonawcach wysokiego ryzyka na przebieg postępowania.</w:t>
      </w:r>
    </w:p>
    <w:p w14:paraId="57539EE0" w14:textId="77777777" w:rsidR="00000A97" w:rsidRPr="00000A97" w:rsidRDefault="00000A97" w:rsidP="0083794D">
      <w:pPr>
        <w:pStyle w:val="Indeks"/>
        <w:numPr>
          <w:ilvl w:val="0"/>
          <w:numId w:val="47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Obowiązek aktualizacji SWZ i dokumentacji. </w:t>
      </w:r>
    </w:p>
    <w:p w14:paraId="652E94F4" w14:textId="7C3B84FB" w:rsidR="0083794D" w:rsidRPr="0083794D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Certyfikacja wykonawców</w:t>
      </w:r>
      <w:r w:rsidRPr="0083794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794D" w:rsidRPr="0083794D">
        <w:rPr>
          <w:rFonts w:ascii="Calibri" w:hAnsi="Calibri" w:cs="Calibri"/>
          <w:b/>
          <w:bCs/>
          <w:sz w:val="24"/>
          <w:szCs w:val="24"/>
        </w:rPr>
        <w:t>(</w:t>
      </w:r>
      <w:r w:rsidRPr="0083794D">
        <w:rPr>
          <w:rFonts w:ascii="Calibri" w:hAnsi="Calibri" w:cs="Calibri"/>
          <w:b/>
          <w:bCs/>
          <w:sz w:val="24"/>
          <w:szCs w:val="24"/>
        </w:rPr>
        <w:t>2026</w:t>
      </w:r>
      <w:r w:rsidR="0083794D" w:rsidRPr="0083794D">
        <w:rPr>
          <w:rFonts w:ascii="Calibri" w:hAnsi="Calibri" w:cs="Calibri"/>
          <w:b/>
          <w:bCs/>
          <w:sz w:val="24"/>
          <w:szCs w:val="24"/>
        </w:rPr>
        <w:t xml:space="preserve"> r.) – zmiana podejścia do weryfikacji</w:t>
      </w:r>
    </w:p>
    <w:p w14:paraId="0EF2A7B4" w14:textId="5DD59128" w:rsidR="00000A97" w:rsidRPr="00000A97" w:rsidRDefault="00000A97" w:rsidP="0083794D">
      <w:pPr>
        <w:pStyle w:val="Indeks"/>
        <w:numPr>
          <w:ilvl w:val="0"/>
          <w:numId w:val="54"/>
        </w:numPr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>Wprowadzenie systemu certyfikacji wykonawców – etapy wdrażania.</w:t>
      </w:r>
    </w:p>
    <w:p w14:paraId="0E186E59" w14:textId="77777777" w:rsidR="00000A97" w:rsidRPr="00000A97" w:rsidRDefault="00000A97" w:rsidP="0083794D">
      <w:pPr>
        <w:pStyle w:val="Indeks"/>
        <w:numPr>
          <w:ilvl w:val="0"/>
          <w:numId w:val="54"/>
        </w:numPr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>Możliwość zastąpienia dokumentów certyfikatem.</w:t>
      </w:r>
    </w:p>
    <w:p w14:paraId="5A4E0A85" w14:textId="77777777" w:rsidR="00000A97" w:rsidRPr="00000A97" w:rsidRDefault="00000A97" w:rsidP="0083794D">
      <w:pPr>
        <w:pStyle w:val="Indeks"/>
        <w:numPr>
          <w:ilvl w:val="0"/>
          <w:numId w:val="54"/>
        </w:numPr>
        <w:spacing w:after="6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 xml:space="preserve">Wpływ na uproszczenie postępowania i skrócenie czasu oceny ofert. </w:t>
      </w:r>
    </w:p>
    <w:p w14:paraId="7EF68760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Przygotowanie i prowadzenie postępowania po zmianach – warsztat praktyczny</w:t>
      </w:r>
    </w:p>
    <w:p w14:paraId="52B45FC4" w14:textId="293B42D8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Opis przedmiotu zamówienia i szacowanie wartości w projektach UE – jak uniknąć błędów skutkujących korektami finansowymi.</w:t>
      </w:r>
    </w:p>
    <w:p w14:paraId="6CCABFA3" w14:textId="77777777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Dokumentacja postępowania (SWZ) – obowiązkowe elementy, zapisy dotyczące wykonawców z państw trzecich, </w:t>
      </w:r>
      <w:proofErr w:type="spellStart"/>
      <w:r w:rsidRPr="00000A97">
        <w:rPr>
          <w:rFonts w:ascii="Calibri" w:hAnsi="Calibri" w:cs="Calibri"/>
          <w:bCs/>
          <w:sz w:val="24"/>
          <w:szCs w:val="24"/>
        </w:rPr>
        <w:t>cyberbezpieczeństwa</w:t>
      </w:r>
      <w:proofErr w:type="spellEnd"/>
      <w:r w:rsidRPr="00000A97">
        <w:rPr>
          <w:rFonts w:ascii="Calibri" w:hAnsi="Calibri" w:cs="Calibri"/>
          <w:bCs/>
          <w:sz w:val="24"/>
          <w:szCs w:val="24"/>
        </w:rPr>
        <w:t xml:space="preserve"> i certyfikacji.</w:t>
      </w:r>
    </w:p>
    <w:p w14:paraId="3926BD76" w14:textId="77777777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Warunki udziału i kryteria oceny ofert – proporcjonalność, wagi kryteriów jakościowych i cenowych, typowe błędy w projektach UE.</w:t>
      </w:r>
    </w:p>
    <w:p w14:paraId="1E3F2B6A" w14:textId="77777777" w:rsidR="00000A97" w:rsidRPr="00000A97" w:rsidRDefault="00000A97" w:rsidP="0083794D">
      <w:pPr>
        <w:pStyle w:val="Indeks"/>
        <w:numPr>
          <w:ilvl w:val="0"/>
          <w:numId w:val="55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Ocena ofert i dokumentów – konsorcja, korzystanie z zasobów innych podmiotów, rażąco niska cena, uzupełnianie dokumentów, najczęstsze błędy komisji przetargowych. </w:t>
      </w:r>
    </w:p>
    <w:p w14:paraId="78714949" w14:textId="7C6220D5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Umowy w projektach UE – praktyczne aspekty</w:t>
      </w:r>
    </w:p>
    <w:p w14:paraId="2D15762C" w14:textId="77777777" w:rsidR="00000A97" w:rsidRPr="00000A97" w:rsidRDefault="00000A97" w:rsidP="0083794D">
      <w:pPr>
        <w:pStyle w:val="Indeks"/>
        <w:numPr>
          <w:ilvl w:val="0"/>
          <w:numId w:val="5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Umowa jako element SWZ – kluczowe postanowienia.</w:t>
      </w:r>
    </w:p>
    <w:p w14:paraId="2B634B2E" w14:textId="77777777" w:rsidR="00000A97" w:rsidRPr="00000A97" w:rsidRDefault="00000A97" w:rsidP="0083794D">
      <w:pPr>
        <w:pStyle w:val="Indeks"/>
        <w:numPr>
          <w:ilvl w:val="0"/>
          <w:numId w:val="5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Klauzule waloryzacyjne i indeksacyjne, klauzule abuzywne – kiedy są obowiązkowe i jak ich unikać.</w:t>
      </w:r>
    </w:p>
    <w:p w14:paraId="1B47EB58" w14:textId="77777777" w:rsidR="00000A97" w:rsidRPr="00000A97" w:rsidRDefault="00000A97" w:rsidP="0083794D">
      <w:pPr>
        <w:pStyle w:val="Indeks"/>
        <w:numPr>
          <w:ilvl w:val="0"/>
          <w:numId w:val="56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Zmiana umowy i realizacja – dopuszczalne działania i ryzyka, odbiory, procedury kar i odstąpienia od umowy, podwykonawstwo. </w:t>
      </w:r>
    </w:p>
    <w:p w14:paraId="311C5B52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Kontrola zamówień publicznych po zmianach i w projektach UE</w:t>
      </w:r>
    </w:p>
    <w:p w14:paraId="27E83627" w14:textId="272C13C0" w:rsidR="00000A97" w:rsidRPr="00000A97" w:rsidRDefault="00000A97" w:rsidP="0083794D">
      <w:pPr>
        <w:pStyle w:val="Indeks"/>
        <w:numPr>
          <w:ilvl w:val="0"/>
          <w:numId w:val="5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Najczęstsze kierunki kontroli (RIO, NIK, środki UE).</w:t>
      </w:r>
    </w:p>
    <w:p w14:paraId="12723616" w14:textId="77777777" w:rsidR="00000A97" w:rsidRPr="00000A97" w:rsidRDefault="00000A97" w:rsidP="0083794D">
      <w:pPr>
        <w:pStyle w:val="Indeks"/>
        <w:numPr>
          <w:ilvl w:val="0"/>
          <w:numId w:val="5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Błędy skutkujące sankcjami i korektami finansowymi.</w:t>
      </w:r>
    </w:p>
    <w:p w14:paraId="42919B25" w14:textId="77777777" w:rsidR="00000A97" w:rsidRPr="00000A97" w:rsidRDefault="00000A97" w:rsidP="0083794D">
      <w:pPr>
        <w:pStyle w:val="Indeks"/>
        <w:numPr>
          <w:ilvl w:val="0"/>
          <w:numId w:val="57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Jak przygotować się do kontroli i ograniczyć ryzyko naruszeń. </w:t>
      </w:r>
    </w:p>
    <w:p w14:paraId="66F9BA46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Podsumowanie i sesja pytań i odpowiedzi</w:t>
      </w:r>
    </w:p>
    <w:p w14:paraId="156BF57C" w14:textId="1BC939A3" w:rsidR="00000A97" w:rsidRPr="00000A97" w:rsidRDefault="00000A97" w:rsidP="0083794D">
      <w:pPr>
        <w:pStyle w:val="Indeks"/>
        <w:numPr>
          <w:ilvl w:val="0"/>
          <w:numId w:val="58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Omówienie najczęściej popełnianych błędów w zamówieniach UE, KPO.</w:t>
      </w:r>
    </w:p>
    <w:p w14:paraId="69B558A8" w14:textId="77777777" w:rsidR="00000A97" w:rsidRPr="00000A97" w:rsidRDefault="00000A97" w:rsidP="0083794D">
      <w:pPr>
        <w:pStyle w:val="Indeks"/>
        <w:numPr>
          <w:ilvl w:val="0"/>
          <w:numId w:val="58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Praktyczne wskazówki i wnioski dla zamawiających w świetle zmian 2025–2026.</w:t>
      </w:r>
    </w:p>
    <w:p w14:paraId="2B200429" w14:textId="77777777" w:rsidR="00270701" w:rsidRPr="00EF19BE" w:rsidRDefault="00270701" w:rsidP="007968EB">
      <w:pPr>
        <w:pStyle w:val="Indeks"/>
        <w:jc w:val="both"/>
        <w:rPr>
          <w:rFonts w:ascii="Calibri" w:hAnsi="Calibri" w:cs="Calibri"/>
          <w:b/>
        </w:rPr>
        <w:sectPr w:rsidR="00270701" w:rsidRPr="00EF19BE" w:rsidSect="00C05E9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64C5A29" w14:textId="77777777" w:rsidR="00246C8F" w:rsidRDefault="00246C8F" w:rsidP="00000A97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1E94F77A" w14:textId="77777777" w:rsidR="0083794D" w:rsidRDefault="0083794D" w:rsidP="008D186C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>„Zamówienia współfinansowane z UE 2021–2027 – prawidłowość postępowań, najczęstsze naruszenia i korekty finansowe</w:t>
      </w:r>
    </w:p>
    <w:p w14:paraId="53E6BA64" w14:textId="77777777" w:rsidR="0083794D" w:rsidRPr="0083794D" w:rsidRDefault="0083794D" w:rsidP="008D186C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 xml:space="preserve"> po  zmianach PZP 2025–2026.”</w:t>
      </w:r>
    </w:p>
    <w:p w14:paraId="433C71EC" w14:textId="452C452C" w:rsidR="0083794D" w:rsidRPr="00A350CD" w:rsidRDefault="00C4698B" w:rsidP="008D186C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="008D186C">
        <w:rPr>
          <w:rFonts w:ascii="Calibri" w:hAnsi="Calibri" w:cs="Calibri"/>
          <w:b/>
          <w:sz w:val="40"/>
          <w:szCs w:val="40"/>
        </w:rPr>
        <w:t xml:space="preserve"> </w:t>
      </w:r>
      <w:r w:rsidR="00A350CD">
        <w:rPr>
          <w:rFonts w:ascii="Arial Narrow" w:hAnsi="Arial Narrow"/>
          <w:b/>
          <w:sz w:val="28"/>
          <w:szCs w:val="28"/>
        </w:rPr>
        <w:t>3</w:t>
      </w:r>
      <w:r w:rsidR="0083794D">
        <w:rPr>
          <w:rFonts w:ascii="Arial Narrow" w:hAnsi="Arial Narrow"/>
          <w:b/>
          <w:sz w:val="28"/>
          <w:szCs w:val="28"/>
        </w:rPr>
        <w:t xml:space="preserve"> </w:t>
      </w:r>
      <w:r w:rsidR="00A350CD">
        <w:rPr>
          <w:rFonts w:ascii="Arial Narrow" w:hAnsi="Arial Narrow"/>
          <w:b/>
          <w:sz w:val="28"/>
          <w:szCs w:val="28"/>
        </w:rPr>
        <w:t xml:space="preserve">czerwca </w:t>
      </w:r>
      <w:r w:rsidR="00461898" w:rsidRPr="00B26C6E">
        <w:rPr>
          <w:rFonts w:ascii="Arial Narrow" w:hAnsi="Arial Narrow"/>
          <w:b/>
          <w:sz w:val="28"/>
          <w:szCs w:val="28"/>
        </w:rPr>
        <w:t>202</w:t>
      </w:r>
      <w:r w:rsidR="00461898">
        <w:rPr>
          <w:rFonts w:ascii="Arial Narrow" w:hAnsi="Arial Narrow"/>
          <w:b/>
          <w:sz w:val="28"/>
          <w:szCs w:val="28"/>
        </w:rPr>
        <w:t>6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A350CD">
        <w:rPr>
          <w:rFonts w:ascii="Arial Narrow" w:hAnsi="Arial Narrow"/>
          <w:b/>
          <w:sz w:val="28"/>
          <w:szCs w:val="28"/>
        </w:rPr>
        <w:t>ONLINE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, 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55431EF8" w14:textId="77777777" w:rsidTr="003A2E0C">
        <w:trPr>
          <w:jc w:val="center"/>
        </w:trPr>
        <w:tc>
          <w:tcPr>
            <w:tcW w:w="3451" w:type="dxa"/>
          </w:tcPr>
          <w:p w14:paraId="5E53AD26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B2683B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1F98C9F2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3880C0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0D10CE4C" w14:textId="77777777" w:rsidTr="003A2E0C">
        <w:trPr>
          <w:trHeight w:val="465"/>
          <w:jc w:val="center"/>
        </w:trPr>
        <w:tc>
          <w:tcPr>
            <w:tcW w:w="3451" w:type="dxa"/>
          </w:tcPr>
          <w:p w14:paraId="0B07FE8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CBCC3EE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00B56C7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B0EAD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76A3D4A4" w14:textId="77777777" w:rsidTr="003A2E0C">
        <w:trPr>
          <w:trHeight w:val="465"/>
          <w:jc w:val="center"/>
        </w:trPr>
        <w:tc>
          <w:tcPr>
            <w:tcW w:w="3451" w:type="dxa"/>
          </w:tcPr>
          <w:p w14:paraId="58C6F600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3D8474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7B332A22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4E4552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07F69F8C" w14:textId="77777777" w:rsidTr="003A2E0C">
        <w:trPr>
          <w:trHeight w:val="465"/>
          <w:jc w:val="center"/>
        </w:trPr>
        <w:tc>
          <w:tcPr>
            <w:tcW w:w="3451" w:type="dxa"/>
          </w:tcPr>
          <w:p w14:paraId="06219430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13EAB9C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C4A6606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D38D2A9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63CCCDF" w14:textId="77777777" w:rsidTr="003A2E0C">
        <w:trPr>
          <w:trHeight w:val="465"/>
          <w:jc w:val="center"/>
        </w:trPr>
        <w:tc>
          <w:tcPr>
            <w:tcW w:w="3451" w:type="dxa"/>
          </w:tcPr>
          <w:p w14:paraId="1B5384F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6E20E0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3F66B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155B77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06CBA8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425E4D2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758C5C34" w14:textId="77777777" w:rsidR="003A2E0C" w:rsidRDefault="003A2E0C" w:rsidP="008D186C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4BA24E3" w14:textId="77777777" w:rsidR="003A2E0C" w:rsidRDefault="003A2E0C" w:rsidP="008D186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29D6FA4" w14:textId="77777777" w:rsidR="00A350CD" w:rsidRPr="007B02A9" w:rsidRDefault="00A350CD" w:rsidP="00A350CD">
      <w:pPr>
        <w:pStyle w:val="Tekstpodstawowy"/>
        <w:suppressAutoHyphens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>
        <w:rPr>
          <w:b/>
          <w:sz w:val="32"/>
          <w:szCs w:val="32"/>
        </w:rPr>
        <w:t>69</w:t>
      </w:r>
      <w:r w:rsidRPr="00711C91">
        <w:rPr>
          <w:b/>
          <w:sz w:val="32"/>
          <w:szCs w:val="32"/>
        </w:rPr>
        <w:t>0,-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>
        <w:rPr>
          <w:b/>
          <w:sz w:val="20"/>
        </w:rPr>
        <w:t>850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1CD0E030" w14:textId="77777777" w:rsidR="00A350CD" w:rsidRPr="00EE3A30" w:rsidRDefault="00A350CD" w:rsidP="00A350CD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43563C9" w14:textId="77777777" w:rsidR="00A350CD" w:rsidRPr="00EE3A30" w:rsidRDefault="00A350CD" w:rsidP="00A350CD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F41E165" w14:textId="77777777" w:rsidR="00A350CD" w:rsidRPr="00154682" w:rsidRDefault="00A350CD" w:rsidP="00A350CD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D70D58D" w14:textId="77777777" w:rsidR="00A350CD" w:rsidRDefault="00A350CD" w:rsidP="00A350CD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CBD77B5" w14:textId="77777777" w:rsidR="00A350CD" w:rsidRPr="00EE3A30" w:rsidRDefault="00A350CD" w:rsidP="00A350CD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BA653C4" w14:textId="77777777" w:rsidR="00A350CD" w:rsidRPr="00EE3A30" w:rsidRDefault="00A350CD" w:rsidP="00A350CD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76E8472A" w14:textId="77777777" w:rsidR="00A350CD" w:rsidRPr="00EE3A30" w:rsidRDefault="00A350CD" w:rsidP="00A350CD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7FF029B" w14:textId="77777777" w:rsidR="00A350CD" w:rsidRDefault="00A350CD" w:rsidP="00A350CD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1D13C0F6" w14:textId="77777777" w:rsidR="00A350CD" w:rsidRPr="006B0D06" w:rsidRDefault="00A350CD" w:rsidP="00A350CD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19DE703E" w14:textId="77777777" w:rsidR="00A350CD" w:rsidRPr="00EE3A30" w:rsidRDefault="00A350CD" w:rsidP="00A350CD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0584A9F5" w14:textId="77777777" w:rsidR="00A350CD" w:rsidRPr="006B0D06" w:rsidRDefault="00A350CD" w:rsidP="00A350CD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E9CD4C8" wp14:editId="519BB6A6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761F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D78CEA8" w14:textId="77777777" w:rsidR="00A350CD" w:rsidRPr="004F06D9" w:rsidRDefault="00A350CD" w:rsidP="00A350CD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p w14:paraId="0AB0B1A3" w14:textId="7530F7C0" w:rsidR="00C05E9D" w:rsidRPr="00461898" w:rsidRDefault="00C05E9D" w:rsidP="00A350CD">
      <w:pPr>
        <w:pStyle w:val="Tekstpodstawowy"/>
        <w:suppressAutoHyphens/>
        <w:rPr>
          <w:rFonts w:ascii="Calibri" w:hAnsi="Calibri" w:cs="Calibri"/>
          <w:b/>
          <w:sz w:val="24"/>
          <w:szCs w:val="24"/>
        </w:rPr>
      </w:pPr>
    </w:p>
    <w:sectPr w:rsidR="00C05E9D" w:rsidRPr="00461898" w:rsidSect="00C05E9D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C056" w14:textId="77777777" w:rsidR="000356EA" w:rsidRDefault="000356EA">
      <w:r>
        <w:separator/>
      </w:r>
    </w:p>
  </w:endnote>
  <w:endnote w:type="continuationSeparator" w:id="0">
    <w:p w14:paraId="7F8BEF4D" w14:textId="77777777" w:rsidR="000356EA" w:rsidRDefault="0003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A350CD" w14:paraId="69C7FF5D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CF47FA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B08F571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1BCF606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937155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3A067F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17D47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F3F62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A6487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756C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07C2E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9CD699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57C25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3DAA7B2B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9C789D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5CBF31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C3A2501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043F85D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2976"/>
    </w:tblGrid>
    <w:tr w:rsidR="0083794D" w:rsidRPr="00A350CD" w14:paraId="7EE8FEA5" w14:textId="77777777" w:rsidTr="00AC27C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9CF6F40" w14:textId="77777777" w:rsidR="0083794D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5EBD553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3639A49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F22A0CA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E7F16B0" w14:textId="77777777" w:rsidR="0083794D" w:rsidRPr="00BB1117" w:rsidRDefault="0083794D" w:rsidP="0083794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C962558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7237EC8" w14:textId="77777777" w:rsidR="0083794D" w:rsidRDefault="0083794D" w:rsidP="0083794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7C3820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2976" w:type="dxa"/>
          <w:tcBorders>
            <w:top w:val="single" w:sz="1" w:space="0" w:color="000000"/>
            <w:bottom w:val="single" w:sz="1" w:space="0" w:color="000000"/>
          </w:tcBorders>
        </w:tcPr>
        <w:p w14:paraId="325FB89C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39F46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3617140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C4284AE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83794D" w:rsidRPr="00BB1117" w14:paraId="7792FDF4" w14:textId="77777777" w:rsidTr="00AC27C6">
      <w:trPr>
        <w:cantSplit/>
      </w:trPr>
      <w:tc>
        <w:tcPr>
          <w:tcW w:w="10348" w:type="dxa"/>
          <w:gridSpan w:val="3"/>
          <w:tcBorders>
            <w:bottom w:val="single" w:sz="4" w:space="0" w:color="auto"/>
          </w:tcBorders>
        </w:tcPr>
        <w:p w14:paraId="392C3BF8" w14:textId="50084CC9" w:rsidR="0083794D" w:rsidRDefault="0083794D" w:rsidP="0083794D">
          <w:pPr>
            <w:pStyle w:val="Nagwek5"/>
            <w:tabs>
              <w:tab w:val="center" w:pos="5174"/>
              <w:tab w:val="left" w:pos="7548"/>
            </w:tabs>
            <w:spacing w:before="0" w:after="0"/>
            <w:jc w:val="left"/>
            <w:rPr>
              <w:sz w:val="16"/>
              <w:szCs w:val="16"/>
            </w:rPr>
          </w:pPr>
          <w:r w:rsidRPr="00A350CD">
            <w:rPr>
              <w:sz w:val="16"/>
              <w:szCs w:val="16"/>
              <w:lang w:val="de-DE"/>
            </w:rPr>
            <w:tab/>
          </w: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710568D1" w14:textId="77777777" w:rsidR="0083794D" w:rsidRPr="000C5683" w:rsidRDefault="0083794D" w:rsidP="0083794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87C8433" w14:textId="77777777" w:rsidR="002C7E20" w:rsidRPr="0083794D" w:rsidRDefault="002C7E20" w:rsidP="00837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A350CD" w14:paraId="3CFEAA2F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C02DAD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492D44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FE5B380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24394D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AB705EE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A6B55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2C85BB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B74449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773F8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CCD12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7804D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02F2DD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A9707B4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33E4A9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7C0CD7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F0F441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A350CD" w14:paraId="6393192D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7DBC6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B2B3D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AAC7FA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EC69F7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E10D7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8CEA1F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A29483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C54A7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C780D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A6935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070602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224A9C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4DD1C144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D39CF48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2F02BD1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BC8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08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45A5" w14:textId="77777777" w:rsidR="000356EA" w:rsidRDefault="000356EA">
      <w:r>
        <w:separator/>
      </w:r>
    </w:p>
  </w:footnote>
  <w:footnote w:type="continuationSeparator" w:id="0">
    <w:p w14:paraId="3396A7C9" w14:textId="77777777" w:rsidR="000356EA" w:rsidRDefault="0003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0FC" w14:textId="4CE5D6F0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65B717C8" wp14:editId="383463CF">
          <wp:extent cx="6760845" cy="135064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0BF74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4FDAFE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2A3C" w14:textId="3A661FA3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3C183178" wp14:editId="4BD1603F">
          <wp:extent cx="6677660" cy="135064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3C53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3D6" w14:textId="54B4652A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072E8BF5" wp14:editId="6CD8D01A">
          <wp:extent cx="6615430" cy="1357630"/>
          <wp:effectExtent l="0" t="0" r="0" b="0"/>
          <wp:docPr id="9847301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83B4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43D7DD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38C" w14:textId="7A444D8F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FBBF4CC" wp14:editId="668793F7">
          <wp:extent cx="6677660" cy="1350645"/>
          <wp:effectExtent l="0" t="0" r="0" b="0"/>
          <wp:docPr id="67203376" name="Obraz 67203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97BE2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557F7"/>
    <w:multiLevelType w:val="hybridMultilevel"/>
    <w:tmpl w:val="B6C2C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2B1CE6"/>
    <w:multiLevelType w:val="hybridMultilevel"/>
    <w:tmpl w:val="71821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43D"/>
    <w:multiLevelType w:val="hybridMultilevel"/>
    <w:tmpl w:val="75E66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10054"/>
    <w:multiLevelType w:val="hybridMultilevel"/>
    <w:tmpl w:val="A776C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24C1D"/>
    <w:multiLevelType w:val="hybridMultilevel"/>
    <w:tmpl w:val="51F0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706B"/>
    <w:multiLevelType w:val="hybridMultilevel"/>
    <w:tmpl w:val="21B8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22D24"/>
    <w:multiLevelType w:val="hybridMultilevel"/>
    <w:tmpl w:val="D2DE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F9008A7"/>
    <w:multiLevelType w:val="hybridMultilevel"/>
    <w:tmpl w:val="1F7073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8AE5702"/>
    <w:multiLevelType w:val="hybridMultilevel"/>
    <w:tmpl w:val="69600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83267B"/>
    <w:multiLevelType w:val="hybridMultilevel"/>
    <w:tmpl w:val="F31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13B80"/>
    <w:multiLevelType w:val="hybridMultilevel"/>
    <w:tmpl w:val="C1522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381E45"/>
    <w:multiLevelType w:val="hybridMultilevel"/>
    <w:tmpl w:val="DB72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74AF1"/>
    <w:multiLevelType w:val="hybridMultilevel"/>
    <w:tmpl w:val="A0DCAD0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A5279"/>
    <w:multiLevelType w:val="hybridMultilevel"/>
    <w:tmpl w:val="4D52A4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B23EF"/>
    <w:multiLevelType w:val="hybridMultilevel"/>
    <w:tmpl w:val="61DC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E44FE"/>
    <w:multiLevelType w:val="hybridMultilevel"/>
    <w:tmpl w:val="EC147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0558"/>
    <w:multiLevelType w:val="hybridMultilevel"/>
    <w:tmpl w:val="0ECC02E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544F1B73"/>
    <w:multiLevelType w:val="hybridMultilevel"/>
    <w:tmpl w:val="50286B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A0D7B05"/>
    <w:multiLevelType w:val="hybridMultilevel"/>
    <w:tmpl w:val="804C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77CC2"/>
    <w:multiLevelType w:val="hybridMultilevel"/>
    <w:tmpl w:val="DEE0C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6883347"/>
    <w:multiLevelType w:val="hybridMultilevel"/>
    <w:tmpl w:val="5B4A8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E1C07F2"/>
    <w:multiLevelType w:val="hybridMultilevel"/>
    <w:tmpl w:val="F9307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B4DD2"/>
    <w:multiLevelType w:val="hybridMultilevel"/>
    <w:tmpl w:val="B156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3E970AA"/>
    <w:multiLevelType w:val="hybridMultilevel"/>
    <w:tmpl w:val="13EA7D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648673E"/>
    <w:multiLevelType w:val="hybridMultilevel"/>
    <w:tmpl w:val="223CB8EA"/>
    <w:lvl w:ilvl="0" w:tplc="D430F50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78D9613F"/>
    <w:multiLevelType w:val="hybridMultilevel"/>
    <w:tmpl w:val="B2B45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56663">
    <w:abstractNumId w:val="5"/>
  </w:num>
  <w:num w:numId="2" w16cid:durableId="1576086814">
    <w:abstractNumId w:val="11"/>
  </w:num>
  <w:num w:numId="3" w16cid:durableId="472909974">
    <w:abstractNumId w:val="49"/>
  </w:num>
  <w:num w:numId="4" w16cid:durableId="236138991">
    <w:abstractNumId w:val="50"/>
  </w:num>
  <w:num w:numId="5" w16cid:durableId="1615015129">
    <w:abstractNumId w:val="36"/>
  </w:num>
  <w:num w:numId="6" w16cid:durableId="1112479270">
    <w:abstractNumId w:val="58"/>
  </w:num>
  <w:num w:numId="7" w16cid:durableId="1393776132">
    <w:abstractNumId w:val="19"/>
  </w:num>
  <w:num w:numId="8" w16cid:durableId="633566495">
    <w:abstractNumId w:val="54"/>
  </w:num>
  <w:num w:numId="9" w16cid:durableId="2097901445">
    <w:abstractNumId w:val="60"/>
  </w:num>
  <w:num w:numId="10" w16cid:durableId="475488336">
    <w:abstractNumId w:val="56"/>
  </w:num>
  <w:num w:numId="11" w16cid:durableId="693580848">
    <w:abstractNumId w:val="46"/>
  </w:num>
  <w:num w:numId="12" w16cid:durableId="1348480070">
    <w:abstractNumId w:val="8"/>
  </w:num>
  <w:num w:numId="13" w16cid:durableId="873036852">
    <w:abstractNumId w:val="13"/>
  </w:num>
  <w:num w:numId="14" w16cid:durableId="429084149">
    <w:abstractNumId w:val="45"/>
  </w:num>
  <w:num w:numId="15" w16cid:durableId="1919948268">
    <w:abstractNumId w:val="47"/>
  </w:num>
  <w:num w:numId="16" w16cid:durableId="1894123602">
    <w:abstractNumId w:val="12"/>
  </w:num>
  <w:num w:numId="17" w16cid:durableId="1718820418">
    <w:abstractNumId w:val="15"/>
  </w:num>
  <w:num w:numId="18" w16cid:durableId="1954743651">
    <w:abstractNumId w:val="31"/>
  </w:num>
  <w:num w:numId="19" w16cid:durableId="1663655821">
    <w:abstractNumId w:val="7"/>
  </w:num>
  <w:num w:numId="20" w16cid:durableId="1843885364">
    <w:abstractNumId w:val="23"/>
  </w:num>
  <w:num w:numId="21" w16cid:durableId="269162296">
    <w:abstractNumId w:val="33"/>
  </w:num>
  <w:num w:numId="22" w16cid:durableId="1782143667">
    <w:abstractNumId w:val="35"/>
  </w:num>
  <w:num w:numId="23" w16cid:durableId="996957406">
    <w:abstractNumId w:val="55"/>
  </w:num>
  <w:num w:numId="24" w16cid:durableId="1861888949">
    <w:abstractNumId w:val="26"/>
  </w:num>
  <w:num w:numId="25" w16cid:durableId="106891396">
    <w:abstractNumId w:val="41"/>
  </w:num>
  <w:num w:numId="26" w16cid:durableId="1804958474">
    <w:abstractNumId w:val="24"/>
  </w:num>
  <w:num w:numId="27" w16cid:durableId="242958058">
    <w:abstractNumId w:val="34"/>
  </w:num>
  <w:num w:numId="28" w16cid:durableId="1792744247">
    <w:abstractNumId w:val="21"/>
  </w:num>
  <w:num w:numId="29" w16cid:durableId="838348772">
    <w:abstractNumId w:val="20"/>
  </w:num>
  <w:num w:numId="30" w16cid:durableId="1872373960">
    <w:abstractNumId w:val="53"/>
  </w:num>
  <w:num w:numId="31" w16cid:durableId="949505701">
    <w:abstractNumId w:val="44"/>
  </w:num>
  <w:num w:numId="32" w16cid:durableId="1661274252">
    <w:abstractNumId w:val="39"/>
  </w:num>
  <w:num w:numId="33" w16cid:durableId="255788950">
    <w:abstractNumId w:val="40"/>
  </w:num>
  <w:num w:numId="34" w16cid:durableId="711073174">
    <w:abstractNumId w:val="22"/>
  </w:num>
  <w:num w:numId="35" w16cid:durableId="1039285529">
    <w:abstractNumId w:val="27"/>
  </w:num>
  <w:num w:numId="36" w16cid:durableId="983049313">
    <w:abstractNumId w:val="32"/>
  </w:num>
  <w:num w:numId="37" w16cid:durableId="1598712235">
    <w:abstractNumId w:val="16"/>
  </w:num>
  <w:num w:numId="38" w16cid:durableId="47150780">
    <w:abstractNumId w:val="59"/>
  </w:num>
  <w:num w:numId="39" w16cid:durableId="1708214604">
    <w:abstractNumId w:val="30"/>
  </w:num>
  <w:num w:numId="40" w16cid:durableId="979724089">
    <w:abstractNumId w:val="57"/>
  </w:num>
  <w:num w:numId="41" w16cid:durableId="944581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9943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0661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7980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2186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8585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18281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290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2986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76320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6217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99957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2055394">
    <w:abstractNumId w:val="6"/>
  </w:num>
  <w:num w:numId="54" w16cid:durableId="1309746888">
    <w:abstractNumId w:val="51"/>
  </w:num>
  <w:num w:numId="55" w16cid:durableId="1718433096">
    <w:abstractNumId w:val="9"/>
  </w:num>
  <w:num w:numId="56" w16cid:durableId="1423212210">
    <w:abstractNumId w:val="42"/>
  </w:num>
  <w:num w:numId="57" w16cid:durableId="1985350778">
    <w:abstractNumId w:val="61"/>
  </w:num>
  <w:num w:numId="58" w16cid:durableId="1884172825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0A97"/>
    <w:rsid w:val="000010EB"/>
    <w:rsid w:val="00001404"/>
    <w:rsid w:val="00004A96"/>
    <w:rsid w:val="000134CA"/>
    <w:rsid w:val="0002619D"/>
    <w:rsid w:val="000322B0"/>
    <w:rsid w:val="000353A2"/>
    <w:rsid w:val="000356EA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4CF1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0916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5253"/>
    <w:rsid w:val="002B260C"/>
    <w:rsid w:val="002B362E"/>
    <w:rsid w:val="002C06B1"/>
    <w:rsid w:val="002C07C8"/>
    <w:rsid w:val="002C4B83"/>
    <w:rsid w:val="002C6122"/>
    <w:rsid w:val="002C6F7E"/>
    <w:rsid w:val="002C72C9"/>
    <w:rsid w:val="002C7E20"/>
    <w:rsid w:val="002D0FBD"/>
    <w:rsid w:val="002D18F5"/>
    <w:rsid w:val="002D3C1B"/>
    <w:rsid w:val="002D57FC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0E46"/>
    <w:rsid w:val="00301397"/>
    <w:rsid w:val="003218FE"/>
    <w:rsid w:val="0032762B"/>
    <w:rsid w:val="0033070B"/>
    <w:rsid w:val="00337A6C"/>
    <w:rsid w:val="00342BE3"/>
    <w:rsid w:val="0035710A"/>
    <w:rsid w:val="00361275"/>
    <w:rsid w:val="00364273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189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B505B"/>
    <w:rsid w:val="005B565A"/>
    <w:rsid w:val="005C3926"/>
    <w:rsid w:val="005C51F3"/>
    <w:rsid w:val="005D1822"/>
    <w:rsid w:val="005D2FE6"/>
    <w:rsid w:val="005F0660"/>
    <w:rsid w:val="005F0AB7"/>
    <w:rsid w:val="005F1464"/>
    <w:rsid w:val="005F2094"/>
    <w:rsid w:val="005F2C61"/>
    <w:rsid w:val="005F2DD8"/>
    <w:rsid w:val="0062520C"/>
    <w:rsid w:val="006268DE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4DDF"/>
    <w:rsid w:val="006C5C50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25F2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68EB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794D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186C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50CD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7620"/>
    <w:rsid w:val="00BC7878"/>
    <w:rsid w:val="00BD2490"/>
    <w:rsid w:val="00BD547B"/>
    <w:rsid w:val="00BD7814"/>
    <w:rsid w:val="00C0182D"/>
    <w:rsid w:val="00C0457C"/>
    <w:rsid w:val="00C057C3"/>
    <w:rsid w:val="00C05E9D"/>
    <w:rsid w:val="00C06631"/>
    <w:rsid w:val="00C0791F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25ECF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B779A"/>
    <w:rsid w:val="00DC1907"/>
    <w:rsid w:val="00DC2C89"/>
    <w:rsid w:val="00DC35B4"/>
    <w:rsid w:val="00DC5735"/>
    <w:rsid w:val="00DD061A"/>
    <w:rsid w:val="00DD1AA8"/>
    <w:rsid w:val="00DD1C53"/>
    <w:rsid w:val="00DD4AB2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760E0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19BE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0C89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00DA"/>
    <w:rsid w:val="00F95AFA"/>
    <w:rsid w:val="00F97014"/>
    <w:rsid w:val="00FA6BC8"/>
    <w:rsid w:val="00FA6C64"/>
    <w:rsid w:val="00FA73DD"/>
    <w:rsid w:val="00FB144C"/>
    <w:rsid w:val="00FB2321"/>
    <w:rsid w:val="00FB31BF"/>
    <w:rsid w:val="00FC06D7"/>
    <w:rsid w:val="00FC108B"/>
    <w:rsid w:val="00FC1654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22F1"/>
  <w15:chartTrackingRefBased/>
  <w15:docId w15:val="{9227C214-32F2-4C36-A835-D5F1FBE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paragraph" w:styleId="Poprawka">
    <w:name w:val="Revision"/>
    <w:hidden/>
    <w:uiPriority w:val="99"/>
    <w:semiHidden/>
    <w:rsid w:val="00134C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2026-04-30T11:12:00Z</dcterms:created>
  <dcterms:modified xsi:type="dcterms:W3CDTF">2026-04-30T11:12:00Z</dcterms:modified>
</cp:coreProperties>
</file>