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8B80354" w14:textId="682551DD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 w:rsidR="002428A1"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66647718" w14:textId="77777777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3739BBCC" w14:textId="77777777" w:rsidR="00BF507D" w:rsidRP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3CE6400D" w14:textId="77777777" w:rsidR="00301806" w:rsidRPr="008B4D0B" w:rsidRDefault="00000000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6833FC60" w14:textId="7D10DB09" w:rsidR="00301806" w:rsidRPr="009C18B9" w:rsidRDefault="00355226">
      <w:pPr>
        <w:pStyle w:val="Tekstpodstawowywcity3"/>
        <w:spacing w:after="0"/>
        <w:ind w:left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KATOWICE</w:t>
      </w:r>
      <w:r w:rsidR="00DF720A">
        <w:rPr>
          <w:rFonts w:ascii="Calibri" w:hAnsi="Calibri"/>
          <w:b/>
          <w:sz w:val="48"/>
          <w:szCs w:val="48"/>
        </w:rPr>
        <w:t xml:space="preserve">, </w:t>
      </w:r>
      <w:r w:rsidR="0092283D">
        <w:rPr>
          <w:rFonts w:ascii="Calibri" w:hAnsi="Calibri"/>
          <w:b/>
          <w:sz w:val="48"/>
          <w:szCs w:val="48"/>
        </w:rPr>
        <w:t>1</w:t>
      </w:r>
      <w:r>
        <w:rPr>
          <w:rFonts w:ascii="Calibri" w:hAnsi="Calibri"/>
          <w:b/>
          <w:sz w:val="48"/>
          <w:szCs w:val="48"/>
        </w:rPr>
        <w:t>9</w:t>
      </w:r>
      <w:r w:rsidR="00DF720A">
        <w:rPr>
          <w:rFonts w:ascii="Calibri" w:hAnsi="Calibri"/>
          <w:b/>
          <w:sz w:val="48"/>
          <w:szCs w:val="48"/>
        </w:rPr>
        <w:t>-</w:t>
      </w:r>
      <w:r>
        <w:rPr>
          <w:rFonts w:ascii="Calibri" w:hAnsi="Calibri"/>
          <w:b/>
          <w:sz w:val="48"/>
          <w:szCs w:val="48"/>
        </w:rPr>
        <w:t>20</w:t>
      </w:r>
      <w:r w:rsidR="00E65638">
        <w:rPr>
          <w:rFonts w:ascii="Calibri" w:hAnsi="Calibri"/>
          <w:b/>
          <w:sz w:val="48"/>
          <w:szCs w:val="48"/>
        </w:rPr>
        <w:t xml:space="preserve"> </w:t>
      </w:r>
      <w:r>
        <w:rPr>
          <w:rFonts w:ascii="Calibri" w:hAnsi="Calibri"/>
          <w:b/>
          <w:sz w:val="48"/>
          <w:szCs w:val="48"/>
        </w:rPr>
        <w:t xml:space="preserve">maja </w:t>
      </w:r>
      <w:r w:rsidR="009C18B9" w:rsidRPr="009C18B9">
        <w:rPr>
          <w:rFonts w:ascii="Calibri" w:hAnsi="Calibri"/>
          <w:b/>
          <w:sz w:val="48"/>
          <w:szCs w:val="48"/>
        </w:rPr>
        <w:t>202</w:t>
      </w:r>
      <w:r w:rsidR="00B24038">
        <w:rPr>
          <w:rFonts w:ascii="Calibri" w:hAnsi="Calibri"/>
          <w:b/>
          <w:sz w:val="48"/>
          <w:szCs w:val="48"/>
        </w:rPr>
        <w:t>6</w:t>
      </w:r>
      <w:r w:rsidR="00C752AD" w:rsidRPr="009C18B9">
        <w:rPr>
          <w:rFonts w:ascii="Calibri" w:hAnsi="Calibri"/>
          <w:b/>
          <w:sz w:val="48"/>
          <w:szCs w:val="48"/>
        </w:rPr>
        <w:t xml:space="preserve"> r.</w:t>
      </w:r>
    </w:p>
    <w:p w14:paraId="4FB0F2FD" w14:textId="77777777" w:rsidR="00355226" w:rsidRPr="00204C23" w:rsidRDefault="00355226" w:rsidP="003552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37FF618E" w14:textId="77777777" w:rsidR="00025EDF" w:rsidRDefault="00025EDF" w:rsidP="00025EDF">
      <w:pPr>
        <w:jc w:val="center"/>
        <w:rPr>
          <w:rFonts w:ascii="Calibri Light" w:hAnsi="Calibri Light" w:cs="Calibri Light"/>
          <w:b/>
          <w:u w:val="single"/>
        </w:rPr>
      </w:pPr>
    </w:p>
    <w:p w14:paraId="5B4E4E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31953293"/>
      <w:r>
        <w:rPr>
          <w:rFonts w:ascii="Calibri Light" w:hAnsi="Calibri Light" w:cs="Calibri Light"/>
          <w:b/>
          <w:bCs/>
          <w:sz w:val="21"/>
          <w:szCs w:val="21"/>
        </w:rPr>
        <w:t xml:space="preserve">Wprowadzenie. Nowe regulacje prawne i ich konsekwencje dla Zamawiających i prowadzonych procedur. </w:t>
      </w:r>
    </w:p>
    <w:p w14:paraId="662AC88E" w14:textId="6C7479AE" w:rsidR="00031EF7" w:rsidRDefault="00031EF7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Przegląd ostatnich zmian w przepisach. Harmonogram wdrożenia kolejnych zmian nowelizacyjnych w 2026 roku.</w:t>
      </w:r>
      <w:r w:rsidR="00355226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Zmiany w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Pzp</w:t>
      </w:r>
      <w:proofErr w:type="spellEnd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 w związku z ogłoszeniem Ustawy o zmianie ustawy o krajowym systemie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cyberbezpieczeństwa</w:t>
      </w:r>
      <w:proofErr w:type="spellEnd"/>
      <w:r w:rsidR="00355226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125CE287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Stosowanie właściwych przepisów w procedurze krajowej i unijnej w świetle wyników kontroli. </w:t>
      </w:r>
    </w:p>
    <w:p w14:paraId="106B20F3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do postępowania jako jeden z najważniejszych etapów postępowania na dostawy, usługi roboty budowlane i jego wpływ na dalsze losy procedury - analiza:</w:t>
      </w:r>
    </w:p>
    <w:p w14:paraId="78DBBDD3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Opis przedmiotu zamówienia - jak prawidłowo opisać przedmiot zamówienia – najczęściej spotykane nieprawidłowości. Kiedy zapis „lub równoważny” nie jest wystarczający. </w:t>
      </w:r>
    </w:p>
    <w:p w14:paraId="210E46A8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Szacowanie wartości zamówienia – w tym ustalenie wartości zamówienia na roboty budowlane tego samego rodzaju na różnych obiektach, a podział zamówienia. Sposób szacowania i udzielania zamówień w przypadku konieczności szybkiego wydatkowania środków. </w:t>
      </w:r>
    </w:p>
    <w:p w14:paraId="3BB97060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Opcja, zamówienia podobne, wznowienia – plusy i minusy przyjętych rozwiązań. Przykładowe zapisy i zasady stosowania. Konsekwencje błędów na etapie przygotowania a możliwość skorzystania z prawa opcji i zamówień podobnych na etapie realizacji. </w:t>
      </w:r>
    </w:p>
    <w:p w14:paraId="5418E871" w14:textId="55F78E7B" w:rsidR="00025EDF" w:rsidRDefault="00230325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Komunikacja z Wykonawcami</w:t>
      </w:r>
      <w:r w:rsidR="00025EDF">
        <w:rPr>
          <w:rFonts w:ascii="Calibri Light" w:hAnsi="Calibri Light" w:cs="Calibri Light"/>
          <w:sz w:val="21"/>
          <w:szCs w:val="21"/>
        </w:rPr>
        <w:t xml:space="preserve"> – kluczowe pojęcia i zasady postępowania poniżej i powyżej 1</w:t>
      </w:r>
      <w:r w:rsidR="00031EF7">
        <w:rPr>
          <w:rFonts w:ascii="Calibri Light" w:hAnsi="Calibri Light" w:cs="Calibri Light"/>
          <w:sz w:val="21"/>
          <w:szCs w:val="21"/>
        </w:rPr>
        <w:t>7</w:t>
      </w:r>
      <w:r w:rsidR="00025EDF">
        <w:rPr>
          <w:rFonts w:ascii="Calibri Light" w:hAnsi="Calibri Light" w:cs="Calibri Light"/>
          <w:sz w:val="21"/>
          <w:szCs w:val="21"/>
        </w:rPr>
        <w:t xml:space="preserve">0.000 zł. Zasady składania i badania oświadczeń i dokumentów w postępowaniu. </w:t>
      </w:r>
    </w:p>
    <w:p w14:paraId="5A9A2186" w14:textId="77777777" w:rsidR="00BF507D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Zasady udzielania zamówień podprogowych – zamówienia poniżej 1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0.000 zł okiem kontrolującego. Konsekwencje zbyt sztywnych procedur. 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Co warto zmienić w regulaminach wewnętrznych w roku 2026 w związku z podniesieniem progu stosowania ustawy PZP?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6604EFCA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Minimalna szybka procedura do 1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>0.000 zł zgodna z zasadą efektywnego wydatkowania środków publicznych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666FF7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Czas niezbędny na przeprowadzenie procedury – przykładowe rozwiązania – zasady bezpiecznego planowania w czasie procedury. Zasady skracania terminu składania ofert. </w:t>
      </w:r>
    </w:p>
    <w:p w14:paraId="707B3D1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Pilna potrzeba udzielenia zamówienia a natychmiastowe wykonanie – zasady postępowania w sytuacjach awaryjnych.</w:t>
      </w:r>
    </w:p>
    <w:p w14:paraId="42E298C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specyfikacji warunków zamówienia (SWZ) - zawartość SWZ - elementy obligatoryjne i fakultatywne poniżej i powyżej progów unijnych:</w:t>
      </w:r>
    </w:p>
    <w:p w14:paraId="0A0B0D6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Zagadnienia dotyczące warunków udziału w postępowaniu. Wymogi stawiane wykonawcom. </w:t>
      </w:r>
    </w:p>
    <w:p w14:paraId="650D70AB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Dowody należytego wykonania. Podmiotowe środki dowodowe - zasady ich badania i uzupełniania. </w:t>
      </w:r>
    </w:p>
    <w:p w14:paraId="4FA84AE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Wzorcowy dobór i weryfikacja podmiotowych i przedmiotowych środków dowodowych.</w:t>
      </w:r>
    </w:p>
    <w:p w14:paraId="064F5B2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Zakres dokumentów, jakie przedstawia wykonawca na potwierdzenie spełniania warunków podmiotowych.</w:t>
      </w:r>
    </w:p>
    <w:p w14:paraId="2D681CEA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Dokumenty składane przez Wykonawcę w sytuacji, w której korzysta z potencjału podmiotów trzecich.</w:t>
      </w:r>
    </w:p>
    <w:p w14:paraId="0E2A16A0" w14:textId="77777777" w:rsidR="00BF507D" w:rsidRDefault="00BF507D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Zmiany związane z certyfikacją Wykonawców. </w:t>
      </w:r>
      <w:r w:rsidRPr="00BF507D">
        <w:rPr>
          <w:rFonts w:ascii="Calibri Light" w:hAnsi="Calibri Light" w:cs="Calibri Light"/>
          <w:sz w:val="21"/>
          <w:szCs w:val="21"/>
        </w:rPr>
        <w:t>Certyfikat zamiast podmiotowych środków dowodowych – jak to działa w praktyce. Skutki dla zamawiających: ułatwienia w weryfikacji, zmiany w dokumentacji. Skutki dla wykonawców: korzyści, koszty, procedura uzyskania certyfikatu.</w:t>
      </w:r>
    </w:p>
    <w:p w14:paraId="7FB2B4E3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Kryteria oceny ofert – cena 100%. Co bada organ kontroli w przypadku zastosowania kryterium ceny przekraczającego 60%.</w:t>
      </w:r>
    </w:p>
    <w:p w14:paraId="05D27496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Konsorcja w praktyce. Najczęściej popełniane błędy przez wykonawców i ich wpływ na ocenę prawidłowości złożonej oferty.</w:t>
      </w:r>
    </w:p>
    <w:p w14:paraId="75CF4561" w14:textId="77777777" w:rsidR="00025EDF" w:rsidRDefault="00025EDF" w:rsidP="00025EDF">
      <w:pPr>
        <w:numPr>
          <w:ilvl w:val="0"/>
          <w:numId w:val="43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Wadium - wniesienie, zwrot, zatrzymanie. W jakiej postaci należy składać wadium wnoszone w formie niepieniężnej? Jakie są zasady zwrotu wadium "z urzędu" a jakie "na wniosek"? Zwrot wadium a możliwość wyboru oferty – zasady postępowania.</w:t>
      </w:r>
    </w:p>
    <w:p w14:paraId="2BA57E7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Dopuszczenie korzystania z zasobów innych podmiotów a podwykonawstwo.  Oświadczenia oraz dokumenty składane przez podmioty, na których zasobach polega Wykonawca.</w:t>
      </w:r>
    </w:p>
    <w:p w14:paraId="06F2831D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Procedura – zasady postępowania po wszczęciu procedury:</w:t>
      </w:r>
    </w:p>
    <w:p w14:paraId="209CB31F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Udzielanie odpowiedzi na pytania do treści SWZ. Brak obowiązku udzielenia odpowiedzi na pytania do SWZ/opisu potrzeb i wymagań, a informacja o nieprawidłowości w postępowaniu. </w:t>
      </w:r>
    </w:p>
    <w:p w14:paraId="36907FF5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Badanie i ocena ofert – dozwolone wyjaśnienia treści oferty i niedozwolone negocjacje treści ofert. </w:t>
      </w:r>
    </w:p>
    <w:p w14:paraId="6089AFB8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Obowiązki zamawiającego na etapie badania i oceny ofert. Poprawa omyłek w ofertach – konsekwencje braku dokonania poprawy. </w:t>
      </w:r>
    </w:p>
    <w:p w14:paraId="1D271E42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Odrzucenie oferty – zasady budowania podstawy prawnej i faktycznej.</w:t>
      </w:r>
    </w:p>
    <w:p w14:paraId="00C0797C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Rażąco niska ceny – jak konstruować wezwanie do wyjaśnień rażąco niskiej ceny. Kiedy zasadne jest ponowne wezwanie.</w:t>
      </w:r>
    </w:p>
    <w:p w14:paraId="730143AA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Unieważnienie postępowania. </w:t>
      </w:r>
      <w:r>
        <w:rPr>
          <w:rFonts w:ascii="Calibri Light" w:hAnsi="Calibri Light" w:cs="Calibri Light"/>
          <w:sz w:val="21"/>
          <w:szCs w:val="21"/>
        </w:rPr>
        <w:t>Przesłanki unieważnienia postępowania do i po otwarciu ofert. Konsekwencje błędnego unieważnienia.</w:t>
      </w:r>
    </w:p>
    <w:p w14:paraId="128DC4C0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Umowy w zamówieniach publicznych – zasady tworzenia i zmiany umów</w:t>
      </w:r>
    </w:p>
    <w:p w14:paraId="63C1BFA8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Umowy: obligatoryjne postanowienia – przykłady, Obligatoryjne kary umowne, zasada waloryzacji wynagrodzenia, zabezpieczanie należytego wykonania umowy, aneksowanie umów, odstąpienie od umowy, unieważnienie umowy. Podwykonawstwo.</w:t>
      </w:r>
    </w:p>
    <w:p w14:paraId="1AE27BEE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Umowa o podwykonawstwo - definicja, elementy składowe. Możliwość ograniczenia podwykonawstwa. Czy całe zamówienie może być kluczowe?</w:t>
      </w:r>
    </w:p>
    <w:p w14:paraId="7DB92283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Obowiązki i uprawnienia wykonawców przy zatrudnieniu podwykonawców oraz obowiązki informacyjne po stronie wykonawcy.</w:t>
      </w:r>
    </w:p>
    <w:p w14:paraId="426DFF9D" w14:textId="77777777" w:rsidR="00025EDF" w:rsidRPr="00BF507D" w:rsidRDefault="00025EDF" w:rsidP="00BF507D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podwykonawcy w realizacji zamówienia – wymagania obowiązkowe, fakultatywne?</w:t>
      </w:r>
      <w:r w:rsidR="00BF507D">
        <w:rPr>
          <w:rFonts w:ascii="Calibri Light" w:hAnsi="Calibri Light" w:cs="Calibri Light"/>
          <w:sz w:val="21"/>
          <w:szCs w:val="21"/>
        </w:rPr>
        <w:t xml:space="preserve"> P</w:t>
      </w:r>
      <w:r w:rsidRPr="00BF507D">
        <w:rPr>
          <w:rFonts w:ascii="Calibri Light" w:hAnsi="Calibri Light" w:cs="Calibri Light"/>
          <w:sz w:val="21"/>
          <w:szCs w:val="21"/>
        </w:rPr>
        <w:t>łatności za realizację zamówienia - dowody zapłaty wymagalnego wynagrodzenia podwykonawcom.</w:t>
      </w:r>
    </w:p>
    <w:p w14:paraId="10F405FA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Prawne skutki zawarcia umowy w wyniku procedury przeprowadzonej z naruszeniem przepisów.</w:t>
      </w:r>
    </w:p>
    <w:p w14:paraId="7C95F66C" w14:textId="77777777" w:rsidR="00BF507D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Raport z realizacji zamówienia. </w:t>
      </w:r>
    </w:p>
    <w:p w14:paraId="201B8CB1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Publiczny rejestr umów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 </w:t>
      </w:r>
      <w:r>
        <w:rPr>
          <w:rFonts w:ascii="Calibri Light" w:hAnsi="Calibri Light" w:cs="Calibri Light"/>
          <w:bCs/>
          <w:sz w:val="21"/>
          <w:szCs w:val="21"/>
        </w:rPr>
        <w:t xml:space="preserve">– 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nadchodzący </w:t>
      </w:r>
      <w:r>
        <w:rPr>
          <w:rFonts w:ascii="Calibri Light" w:hAnsi="Calibri Light" w:cs="Calibri Light"/>
          <w:bCs/>
          <w:sz w:val="21"/>
          <w:szCs w:val="21"/>
        </w:rPr>
        <w:t>nowy obowiązek jednostek publicznych.</w:t>
      </w:r>
    </w:p>
    <w:p w14:paraId="5BF114BA" w14:textId="77777777" w:rsidR="00025EDF" w:rsidRDefault="00025EDF" w:rsidP="00025EDF">
      <w:pPr>
        <w:numPr>
          <w:ilvl w:val="0"/>
          <w:numId w:val="45"/>
        </w:numPr>
        <w:spacing w:before="6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ODPOWIEDZI NA PYTANIA UCZESTNIKÓW SZKOLENIA. PODSUMOWANIE SZKOLENIA.</w:t>
      </w:r>
    </w:p>
    <w:bookmarkEnd w:id="0"/>
    <w:p w14:paraId="4AB506C6" w14:textId="77777777" w:rsidR="00301806" w:rsidRPr="001D5797" w:rsidRDefault="00301806">
      <w:pPr>
        <w:pStyle w:val="Indeks"/>
        <w:jc w:val="both"/>
        <w:rPr>
          <w:rFonts w:ascii="Calibri" w:hAnsi="Calibri"/>
          <w:b/>
          <w:sz w:val="23"/>
          <w:szCs w:val="23"/>
        </w:rPr>
        <w:sectPr w:rsidR="00301806" w:rsidRPr="001D579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DD1C6A7" w14:textId="77777777" w:rsidR="00301806" w:rsidRPr="001919D7" w:rsidRDefault="00301806">
      <w:pPr>
        <w:pStyle w:val="Tekstpodstawowy2"/>
        <w:ind w:left="-284"/>
        <w:rPr>
          <w:rFonts w:ascii="Calibri" w:hAnsi="Calibri"/>
          <w:i/>
          <w:sz w:val="2"/>
        </w:rPr>
      </w:pPr>
    </w:p>
    <w:p w14:paraId="13BEBDA7" w14:textId="77777777" w:rsidR="00301806" w:rsidRPr="001919D7" w:rsidRDefault="001E345D" w:rsidP="00807B9C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1919D7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4FD4D00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347FF71B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2C379543" w14:textId="77777777" w:rsidR="002428A1" w:rsidRPr="00BF507D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7213EACE" w14:textId="08E1F43B" w:rsidR="00B24038" w:rsidRDefault="00DF0FDE" w:rsidP="00025EDF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="00025EDF"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 w:rsidR="0092283D">
        <w:rPr>
          <w:rFonts w:ascii="Calibri" w:hAnsi="Calibri"/>
          <w:b/>
          <w:sz w:val="26"/>
          <w:szCs w:val="26"/>
        </w:rPr>
        <w:t>1</w:t>
      </w:r>
      <w:r w:rsidR="00355226">
        <w:rPr>
          <w:rFonts w:ascii="Calibri" w:hAnsi="Calibri"/>
          <w:b/>
          <w:sz w:val="26"/>
          <w:szCs w:val="26"/>
        </w:rPr>
        <w:t>9</w:t>
      </w:r>
      <w:r w:rsidR="00DF720A">
        <w:rPr>
          <w:rFonts w:ascii="Calibri" w:hAnsi="Calibri"/>
          <w:b/>
          <w:sz w:val="26"/>
          <w:szCs w:val="26"/>
        </w:rPr>
        <w:t>-</w:t>
      </w:r>
      <w:r w:rsidR="00355226">
        <w:rPr>
          <w:rFonts w:ascii="Calibri" w:hAnsi="Calibri"/>
          <w:b/>
          <w:sz w:val="26"/>
          <w:szCs w:val="26"/>
        </w:rPr>
        <w:t>20</w:t>
      </w:r>
      <w:r w:rsidR="00DF720A">
        <w:rPr>
          <w:rFonts w:ascii="Calibri" w:hAnsi="Calibri"/>
          <w:b/>
          <w:sz w:val="26"/>
          <w:szCs w:val="26"/>
        </w:rPr>
        <w:t xml:space="preserve"> </w:t>
      </w:r>
      <w:r w:rsidR="00355226">
        <w:rPr>
          <w:rFonts w:ascii="Calibri" w:hAnsi="Calibri"/>
          <w:b/>
          <w:sz w:val="26"/>
          <w:szCs w:val="26"/>
        </w:rPr>
        <w:t xml:space="preserve">maja </w:t>
      </w:r>
      <w:r w:rsidR="00B24038">
        <w:rPr>
          <w:rFonts w:ascii="Calibri" w:hAnsi="Calibri"/>
          <w:b/>
          <w:sz w:val="26"/>
          <w:szCs w:val="26"/>
        </w:rPr>
        <w:t>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355226">
        <w:rPr>
          <w:rFonts w:ascii="Calibri" w:hAnsi="Calibri"/>
          <w:b/>
          <w:sz w:val="36"/>
          <w:szCs w:val="36"/>
        </w:rPr>
        <w:t>KATOWICE</w:t>
      </w:r>
    </w:p>
    <w:p w14:paraId="0123CD69" w14:textId="3A49E371" w:rsidR="00301806" w:rsidRPr="00025EDF" w:rsidRDefault="00355226" w:rsidP="00025EDF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355226">
        <w:rPr>
          <w:rFonts w:ascii="Calibri" w:hAnsi="Calibri"/>
          <w:b/>
          <w:sz w:val="26"/>
          <w:szCs w:val="26"/>
          <w:lang w:val="es-ES"/>
        </w:rPr>
        <w:t>Hotel Quality &amp; Economy Silesian</w:t>
      </w:r>
      <w:r w:rsidR="00DF720A" w:rsidRPr="00355226">
        <w:rPr>
          <w:rFonts w:ascii="Calibri" w:hAnsi="Calibri"/>
          <w:b/>
          <w:sz w:val="26"/>
          <w:szCs w:val="26"/>
          <w:lang w:val="es-ES"/>
        </w:rPr>
        <w:t xml:space="preserve">, </w:t>
      </w:r>
      <w:r w:rsidRPr="00355226">
        <w:rPr>
          <w:rFonts w:ascii="Calibri" w:hAnsi="Calibri"/>
          <w:b/>
          <w:sz w:val="26"/>
          <w:szCs w:val="26"/>
          <w:lang w:val="es-ES"/>
        </w:rPr>
        <w:t>u</w:t>
      </w:r>
      <w:r w:rsidR="00DF720A" w:rsidRPr="00355226">
        <w:rPr>
          <w:rFonts w:ascii="Calibri" w:hAnsi="Calibri"/>
          <w:b/>
          <w:sz w:val="26"/>
          <w:szCs w:val="26"/>
          <w:lang w:val="es-ES"/>
        </w:rPr>
        <w:t xml:space="preserve">l. </w:t>
      </w:r>
      <w:r>
        <w:rPr>
          <w:rFonts w:ascii="Calibri" w:hAnsi="Calibri"/>
          <w:b/>
          <w:sz w:val="26"/>
          <w:szCs w:val="26"/>
        </w:rPr>
        <w:t>Szybowcowa 1a</w:t>
      </w:r>
      <w:r w:rsidR="001C041F">
        <w:rPr>
          <w:rFonts w:ascii="Calibri" w:hAnsi="Calibri"/>
          <w:b/>
          <w:sz w:val="26"/>
          <w:szCs w:val="26"/>
        </w:rPr>
        <w:t xml:space="preserve">, </w:t>
      </w:r>
      <w:r w:rsidR="00C752AD" w:rsidRPr="004205A5">
        <w:rPr>
          <w:rFonts w:ascii="Calibri" w:hAnsi="Calibri"/>
          <w:b/>
          <w:sz w:val="26"/>
          <w:szCs w:val="26"/>
        </w:rPr>
        <w:t xml:space="preserve">godz. </w:t>
      </w:r>
      <w:r w:rsidR="00C752AD"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2977"/>
        <w:gridCol w:w="1843"/>
        <w:gridCol w:w="1945"/>
      </w:tblGrid>
      <w:tr w:rsidR="003A2E0C" w:rsidRPr="001919D7" w14:paraId="19B04A6B" w14:textId="77777777" w:rsidTr="00B24038">
        <w:trPr>
          <w:jc w:val="center"/>
        </w:trPr>
        <w:tc>
          <w:tcPr>
            <w:tcW w:w="3706" w:type="dxa"/>
          </w:tcPr>
          <w:p w14:paraId="558BF043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7" w:type="dxa"/>
          </w:tcPr>
          <w:p w14:paraId="748D203E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843" w:type="dxa"/>
          </w:tcPr>
          <w:p w14:paraId="651AD106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D1BF9A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3A2E0C" w:rsidRPr="001919D7" w14:paraId="08942431" w14:textId="77777777" w:rsidTr="00B24038">
        <w:trPr>
          <w:trHeight w:val="465"/>
          <w:jc w:val="center"/>
        </w:trPr>
        <w:tc>
          <w:tcPr>
            <w:tcW w:w="3706" w:type="dxa"/>
          </w:tcPr>
          <w:p w14:paraId="1B23ABB0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427E36FC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7F10364A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BFF9F6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1806" w:rsidRPr="001919D7" w14:paraId="75BB3091" w14:textId="77777777" w:rsidTr="00B24038">
        <w:trPr>
          <w:trHeight w:val="465"/>
          <w:jc w:val="center"/>
        </w:trPr>
        <w:tc>
          <w:tcPr>
            <w:tcW w:w="3706" w:type="dxa"/>
          </w:tcPr>
          <w:p w14:paraId="363D2E7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642D3E3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36B87E6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ED6E92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0FE5EF94" w14:textId="77777777" w:rsidTr="00B24038">
        <w:trPr>
          <w:trHeight w:val="465"/>
          <w:jc w:val="center"/>
        </w:trPr>
        <w:tc>
          <w:tcPr>
            <w:tcW w:w="3706" w:type="dxa"/>
          </w:tcPr>
          <w:p w14:paraId="29431BB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0E8C259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318BA67E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557EFAE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6D370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4671EDB1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0324ABEE" w14:textId="77777777" w:rsidR="003A2E0C" w:rsidRPr="001919D7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0E46E8D" w14:textId="77777777" w:rsidR="003A2E0C" w:rsidRPr="001919D7" w:rsidRDefault="003A2E0C" w:rsidP="003A2E0C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168F7425" w14:textId="77777777" w:rsidR="0092283D" w:rsidRPr="004A7BFF" w:rsidRDefault="0092283D" w:rsidP="0092283D">
      <w:pPr>
        <w:pStyle w:val="Tekstpodstawowy"/>
        <w:suppressAutoHyphens/>
        <w:ind w:right="-204"/>
        <w:rPr>
          <w:rFonts w:asciiTheme="minorHAnsi" w:hAnsiTheme="minorHAnsi" w:cs="Poppins"/>
          <w:bCs/>
          <w:sz w:val="18"/>
          <w:szCs w:val="18"/>
        </w:rPr>
      </w:pPr>
      <w:r w:rsidRPr="004A7BFF">
        <w:rPr>
          <w:rFonts w:asciiTheme="minorHAnsi" w:hAnsiTheme="minorHAnsi" w:cs="Poppins"/>
          <w:bCs/>
          <w:sz w:val="20"/>
          <w:szCs w:val="18"/>
        </w:rPr>
        <w:t xml:space="preserve">Koszt uczestnictwa 1 osoby w szkoleniu wynosi </w:t>
      </w:r>
      <w:r>
        <w:rPr>
          <w:rFonts w:asciiTheme="minorHAnsi" w:hAnsiTheme="minorHAnsi" w:cs="Poppins"/>
          <w:bCs/>
          <w:sz w:val="28"/>
          <w:szCs w:val="28"/>
        </w:rPr>
        <w:t>158</w:t>
      </w:r>
      <w:r w:rsidRPr="004A7BFF">
        <w:rPr>
          <w:rFonts w:asciiTheme="minorHAnsi" w:hAnsiTheme="minorHAnsi" w:cs="Poppins"/>
          <w:bCs/>
          <w:sz w:val="28"/>
          <w:szCs w:val="28"/>
        </w:rPr>
        <w:t>0,- zł</w:t>
      </w:r>
      <w:r w:rsidRPr="004A7BFF">
        <w:rPr>
          <w:rFonts w:asciiTheme="minorHAnsi" w:hAnsiTheme="minorHAnsi" w:cs="Poppins"/>
          <w:bCs/>
          <w:sz w:val="20"/>
          <w:szCs w:val="18"/>
        </w:rPr>
        <w:t xml:space="preserve"> w przypadku finansowania szkolenia ze środków publicznych w co najmniej 70% (faktura VAT zw.). W pozostałych przypadkach koszt szkolenia wynosi </w:t>
      </w:r>
      <w:r>
        <w:rPr>
          <w:rFonts w:asciiTheme="minorHAnsi" w:hAnsiTheme="minorHAnsi" w:cs="Poppins"/>
          <w:bCs/>
          <w:sz w:val="20"/>
          <w:szCs w:val="18"/>
        </w:rPr>
        <w:t>1</w:t>
      </w:r>
      <w:r w:rsidRPr="004A7BFF">
        <w:rPr>
          <w:rFonts w:asciiTheme="minorHAnsi" w:hAnsiTheme="minorHAnsi" w:cs="Poppins"/>
          <w:bCs/>
          <w:sz w:val="20"/>
          <w:szCs w:val="18"/>
        </w:rPr>
        <w:t>9</w:t>
      </w:r>
      <w:r>
        <w:rPr>
          <w:rFonts w:asciiTheme="minorHAnsi" w:hAnsiTheme="minorHAnsi" w:cs="Poppins"/>
          <w:bCs/>
          <w:sz w:val="20"/>
          <w:szCs w:val="18"/>
        </w:rPr>
        <w:t>4</w:t>
      </w:r>
      <w:r w:rsidRPr="004A7BFF">
        <w:rPr>
          <w:rFonts w:asciiTheme="minorHAnsi" w:hAnsiTheme="minorHAnsi" w:cs="Poppins"/>
          <w:bCs/>
          <w:sz w:val="20"/>
          <w:szCs w:val="18"/>
        </w:rPr>
        <w:t>0,- zł brutto (VAT 23%) i obejmuje koszt materiałów wydanych w formie książkowej (Ustawa PZP + Akty wykonawcze), pisemne zaświadczenie uczestnictwa, serwis kawowy, lunch.</w:t>
      </w:r>
    </w:p>
    <w:p w14:paraId="5B112342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B828B5F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298C23" w14:textId="77777777" w:rsidR="00355226" w:rsidRPr="00154682" w:rsidRDefault="00355226" w:rsidP="0035522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6F1DF46" w14:textId="77777777" w:rsidR="00355226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80F61FC" w14:textId="77777777" w:rsidR="00355226" w:rsidRPr="00EE3A30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112EED6C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056F8CA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3932BD5" w14:textId="77777777" w:rsidR="00355226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30056B0A" w14:textId="77777777" w:rsidR="00355226" w:rsidRPr="006B0D06" w:rsidRDefault="00355226" w:rsidP="0035522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5AE81E3F" w14:textId="77777777" w:rsidR="00355226" w:rsidRPr="00EE3A30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5DD38E5" w14:textId="77777777" w:rsidR="00355226" w:rsidRPr="006B0D06" w:rsidRDefault="00355226" w:rsidP="0035522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3A36FF" wp14:editId="5A5CA55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43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369D5BC" w14:textId="0C965E2B" w:rsidR="009E297C" w:rsidRPr="00355226" w:rsidRDefault="00355226" w:rsidP="0035522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297C" w:rsidRPr="0035522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9E55" w14:textId="77777777" w:rsidR="008A38B2" w:rsidRDefault="008A38B2">
      <w:r>
        <w:separator/>
      </w:r>
    </w:p>
  </w:endnote>
  <w:endnote w:type="continuationSeparator" w:id="0">
    <w:p w14:paraId="299F10B4" w14:textId="77777777" w:rsidR="008A38B2" w:rsidRDefault="008A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355226" w14:paraId="195D74EC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775E167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54E1EB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36BC25F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80C93B9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558BF88C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5CAF29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5CA767C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3039DB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C2852F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20471E1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918089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FCB94C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946C6C4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315B532F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792F690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7C09A689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B43FD62" w14:textId="77777777" w:rsidR="00301806" w:rsidRPr="003E25D8" w:rsidRDefault="00301806">
    <w:pPr>
      <w:pStyle w:val="Stopka"/>
      <w:rPr>
        <w:sz w:val="2"/>
        <w:szCs w:val="2"/>
      </w:rPr>
    </w:pPr>
  </w:p>
  <w:p w14:paraId="0A5C6A94" w14:textId="77777777" w:rsidR="00301806" w:rsidRPr="000C5683" w:rsidRDefault="00301806">
    <w:pPr>
      <w:pStyle w:val="Stopka"/>
    </w:pPr>
  </w:p>
  <w:p w14:paraId="1671584E" w14:textId="77777777" w:rsidR="001F6CD3" w:rsidRPr="00634864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355226" w14:paraId="52DFF722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839DA85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E80DE35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0D97272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1083510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2E882C0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CECD4B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A96FEF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337FC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15E2F63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F0D6EE2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163B41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9007D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B5F1037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518A565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D8E0FEC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E05B0DE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8FDC01C" w14:textId="77777777" w:rsidR="00301806" w:rsidRPr="00917FF4" w:rsidRDefault="0030180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0B5" w14:textId="77777777" w:rsidR="00301806" w:rsidRPr="00DB1D56" w:rsidRDefault="00301806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D94" w14:textId="77777777" w:rsidR="00301806" w:rsidRPr="007678D6" w:rsidRDefault="00301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CADB" w14:textId="77777777" w:rsidR="008A38B2" w:rsidRDefault="008A38B2">
      <w:r>
        <w:separator/>
      </w:r>
    </w:p>
  </w:footnote>
  <w:footnote w:type="continuationSeparator" w:id="0">
    <w:p w14:paraId="2E20B282" w14:textId="77777777" w:rsidR="008A38B2" w:rsidRDefault="008A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B810" w14:textId="0A30719D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35D9FE63" wp14:editId="5B955025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0512" w14:textId="77777777" w:rsidR="00301806" w:rsidRPr="00EE430D" w:rsidRDefault="00301806">
    <w:pPr>
      <w:pStyle w:val="Nagwek"/>
      <w:rPr>
        <w:sz w:val="2"/>
        <w:szCs w:val="2"/>
      </w:rPr>
    </w:pPr>
  </w:p>
  <w:p w14:paraId="458F536A" w14:textId="77777777" w:rsidR="00301806" w:rsidRPr="007C34BB" w:rsidRDefault="0030180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794" w14:textId="03813A64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0700FECD" wp14:editId="4714C974">
          <wp:extent cx="64160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B2B86" w14:textId="77777777" w:rsidR="00301806" w:rsidRPr="00EE430D" w:rsidRDefault="003018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851175"/>
    <w:multiLevelType w:val="hybridMultilevel"/>
    <w:tmpl w:val="EC82F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06396A97"/>
    <w:multiLevelType w:val="hybridMultilevel"/>
    <w:tmpl w:val="56A692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FC7616"/>
    <w:multiLevelType w:val="hybridMultilevel"/>
    <w:tmpl w:val="032E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E789A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0F3B6B55"/>
    <w:multiLevelType w:val="hybridMultilevel"/>
    <w:tmpl w:val="B3EAABD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0FE75380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1D476B14"/>
    <w:multiLevelType w:val="hybridMultilevel"/>
    <w:tmpl w:val="5D669F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3157E7"/>
    <w:multiLevelType w:val="hybridMultilevel"/>
    <w:tmpl w:val="842063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5E9C"/>
    <w:multiLevelType w:val="hybridMultilevel"/>
    <w:tmpl w:val="99FE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15BC"/>
    <w:multiLevelType w:val="hybridMultilevel"/>
    <w:tmpl w:val="040C7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54269"/>
    <w:multiLevelType w:val="hybridMultilevel"/>
    <w:tmpl w:val="F93E5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F402F"/>
    <w:multiLevelType w:val="hybridMultilevel"/>
    <w:tmpl w:val="F2E6F2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D6EA7"/>
    <w:multiLevelType w:val="hybridMultilevel"/>
    <w:tmpl w:val="9F4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4A2D"/>
    <w:multiLevelType w:val="hybridMultilevel"/>
    <w:tmpl w:val="0EC26A3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4E0987"/>
    <w:multiLevelType w:val="hybridMultilevel"/>
    <w:tmpl w:val="8264C3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A66C4"/>
    <w:multiLevelType w:val="hybridMultilevel"/>
    <w:tmpl w:val="6C800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EB87483"/>
    <w:multiLevelType w:val="hybridMultilevel"/>
    <w:tmpl w:val="49D4D8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32BD4605"/>
    <w:multiLevelType w:val="hybridMultilevel"/>
    <w:tmpl w:val="D4D6C30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37422C14"/>
    <w:multiLevelType w:val="hybridMultilevel"/>
    <w:tmpl w:val="612411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51EC8"/>
    <w:multiLevelType w:val="hybridMultilevel"/>
    <w:tmpl w:val="199277C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6A35EF"/>
    <w:multiLevelType w:val="hybridMultilevel"/>
    <w:tmpl w:val="57F6077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2E501F"/>
    <w:multiLevelType w:val="hybridMultilevel"/>
    <w:tmpl w:val="0BC043A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3DD5649E"/>
    <w:multiLevelType w:val="hybridMultilevel"/>
    <w:tmpl w:val="B8D08C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BA0B94"/>
    <w:multiLevelType w:val="hybridMultilevel"/>
    <w:tmpl w:val="B0564F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7E52F5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606E7E"/>
    <w:multiLevelType w:val="hybridMultilevel"/>
    <w:tmpl w:val="477E4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A464D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 w15:restartNumberingAfterBreak="0">
    <w:nsid w:val="43C9442E"/>
    <w:multiLevelType w:val="hybridMultilevel"/>
    <w:tmpl w:val="A8F8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47147C"/>
    <w:multiLevelType w:val="hybridMultilevel"/>
    <w:tmpl w:val="8D88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C86833"/>
    <w:multiLevelType w:val="hybridMultilevel"/>
    <w:tmpl w:val="97E0DA5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6" w15:restartNumberingAfterBreak="0">
    <w:nsid w:val="552E15F3"/>
    <w:multiLevelType w:val="hybridMultilevel"/>
    <w:tmpl w:val="5F6E8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E4E47"/>
    <w:multiLevelType w:val="hybridMultilevel"/>
    <w:tmpl w:val="79F88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96B3B"/>
    <w:multiLevelType w:val="hybridMultilevel"/>
    <w:tmpl w:val="4AEEF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CE3343A"/>
    <w:multiLevelType w:val="hybridMultilevel"/>
    <w:tmpl w:val="B4663B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DCF062D"/>
    <w:multiLevelType w:val="hybridMultilevel"/>
    <w:tmpl w:val="3310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3ED7"/>
    <w:multiLevelType w:val="hybridMultilevel"/>
    <w:tmpl w:val="FBD0F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F87D41"/>
    <w:multiLevelType w:val="hybridMultilevel"/>
    <w:tmpl w:val="D47C1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507060D"/>
    <w:multiLevelType w:val="hybridMultilevel"/>
    <w:tmpl w:val="C1B4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826A0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3042EB"/>
    <w:multiLevelType w:val="hybridMultilevel"/>
    <w:tmpl w:val="D7380E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DB04070"/>
    <w:multiLevelType w:val="hybridMultilevel"/>
    <w:tmpl w:val="4FE2FAE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54D6"/>
    <w:multiLevelType w:val="hybridMultilevel"/>
    <w:tmpl w:val="8854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033D0"/>
    <w:multiLevelType w:val="hybridMultilevel"/>
    <w:tmpl w:val="EF4A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6118C"/>
    <w:multiLevelType w:val="hybridMultilevel"/>
    <w:tmpl w:val="D04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81587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540289">
    <w:abstractNumId w:val="5"/>
  </w:num>
  <w:num w:numId="2" w16cid:durableId="380522231">
    <w:abstractNumId w:val="13"/>
  </w:num>
  <w:num w:numId="3" w16cid:durableId="354186390">
    <w:abstractNumId w:val="27"/>
  </w:num>
  <w:num w:numId="4" w16cid:durableId="1843349944">
    <w:abstractNumId w:val="11"/>
  </w:num>
  <w:num w:numId="5" w16cid:durableId="1745760260">
    <w:abstractNumId w:val="23"/>
  </w:num>
  <w:num w:numId="6" w16cid:durableId="1068377901">
    <w:abstractNumId w:val="29"/>
  </w:num>
  <w:num w:numId="7" w16cid:durableId="799343402">
    <w:abstractNumId w:val="20"/>
  </w:num>
  <w:num w:numId="8" w16cid:durableId="531575102">
    <w:abstractNumId w:val="35"/>
  </w:num>
  <w:num w:numId="9" w16cid:durableId="1139035065">
    <w:abstractNumId w:val="10"/>
  </w:num>
  <w:num w:numId="10" w16cid:durableId="1155150750">
    <w:abstractNumId w:val="22"/>
  </w:num>
  <w:num w:numId="11" w16cid:durableId="1764111742">
    <w:abstractNumId w:val="9"/>
  </w:num>
  <w:num w:numId="12" w16cid:durableId="1598098331">
    <w:abstractNumId w:val="6"/>
  </w:num>
  <w:num w:numId="13" w16cid:durableId="1906260818">
    <w:abstractNumId w:val="32"/>
  </w:num>
  <w:num w:numId="14" w16cid:durableId="192033903">
    <w:abstractNumId w:val="34"/>
  </w:num>
  <w:num w:numId="15" w16cid:durableId="943457221">
    <w:abstractNumId w:val="48"/>
  </w:num>
  <w:num w:numId="16" w16cid:durableId="1407335608">
    <w:abstractNumId w:val="49"/>
  </w:num>
  <w:num w:numId="17" w16cid:durableId="718362756">
    <w:abstractNumId w:val="31"/>
  </w:num>
  <w:num w:numId="18" w16cid:durableId="266470428">
    <w:abstractNumId w:val="25"/>
  </w:num>
  <w:num w:numId="19" w16cid:durableId="1407193482">
    <w:abstractNumId w:val="37"/>
  </w:num>
  <w:num w:numId="20" w16cid:durableId="279800540">
    <w:abstractNumId w:val="43"/>
  </w:num>
  <w:num w:numId="21" w16cid:durableId="1194539623">
    <w:abstractNumId w:val="30"/>
  </w:num>
  <w:num w:numId="22" w16cid:durableId="872572508">
    <w:abstractNumId w:val="44"/>
  </w:num>
  <w:num w:numId="23" w16cid:durableId="863246579">
    <w:abstractNumId w:val="50"/>
  </w:num>
  <w:num w:numId="24" w16cid:durableId="1429043148">
    <w:abstractNumId w:val="16"/>
  </w:num>
  <w:num w:numId="25" w16cid:durableId="419914187">
    <w:abstractNumId w:val="36"/>
  </w:num>
  <w:num w:numId="26" w16cid:durableId="1853494377">
    <w:abstractNumId w:val="42"/>
  </w:num>
  <w:num w:numId="27" w16cid:durableId="1007632644">
    <w:abstractNumId w:val="45"/>
  </w:num>
  <w:num w:numId="28" w16cid:durableId="102384685">
    <w:abstractNumId w:val="21"/>
  </w:num>
  <w:num w:numId="29" w16cid:durableId="617681078">
    <w:abstractNumId w:val="24"/>
  </w:num>
  <w:num w:numId="30" w16cid:durableId="1348093312">
    <w:abstractNumId w:val="46"/>
  </w:num>
  <w:num w:numId="31" w16cid:durableId="1939750303">
    <w:abstractNumId w:val="26"/>
  </w:num>
  <w:num w:numId="32" w16cid:durableId="768621502">
    <w:abstractNumId w:val="14"/>
  </w:num>
  <w:num w:numId="33" w16cid:durableId="721907402">
    <w:abstractNumId w:val="39"/>
  </w:num>
  <w:num w:numId="34" w16cid:durableId="315762700">
    <w:abstractNumId w:val="19"/>
  </w:num>
  <w:num w:numId="35" w16cid:durableId="345789021">
    <w:abstractNumId w:val="33"/>
  </w:num>
  <w:num w:numId="36" w16cid:durableId="77556969">
    <w:abstractNumId w:val="17"/>
  </w:num>
  <w:num w:numId="37" w16cid:durableId="1702436883">
    <w:abstractNumId w:val="28"/>
  </w:num>
  <w:num w:numId="38" w16cid:durableId="717513416">
    <w:abstractNumId w:val="18"/>
  </w:num>
  <w:num w:numId="39" w16cid:durableId="1533764950">
    <w:abstractNumId w:val="15"/>
  </w:num>
  <w:num w:numId="40" w16cid:durableId="1837527959">
    <w:abstractNumId w:val="38"/>
  </w:num>
  <w:num w:numId="41" w16cid:durableId="999967669">
    <w:abstractNumId w:val="7"/>
  </w:num>
  <w:num w:numId="42" w16cid:durableId="353308721">
    <w:abstractNumId w:val="12"/>
  </w:num>
  <w:num w:numId="43" w16cid:durableId="1628390365">
    <w:abstractNumId w:val="8"/>
  </w:num>
  <w:num w:numId="44" w16cid:durableId="673145286">
    <w:abstractNumId w:val="40"/>
  </w:num>
  <w:num w:numId="45" w16cid:durableId="1197281549">
    <w:abstractNumId w:val="41"/>
  </w:num>
  <w:num w:numId="46" w16cid:durableId="1085491763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12DA"/>
    <w:rsid w:val="00025EDF"/>
    <w:rsid w:val="0002619D"/>
    <w:rsid w:val="0003106F"/>
    <w:rsid w:val="00031EF7"/>
    <w:rsid w:val="000322B0"/>
    <w:rsid w:val="000353A2"/>
    <w:rsid w:val="0004208E"/>
    <w:rsid w:val="00042F0E"/>
    <w:rsid w:val="00043C31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BDC"/>
    <w:rsid w:val="00130B2D"/>
    <w:rsid w:val="001352BA"/>
    <w:rsid w:val="00137774"/>
    <w:rsid w:val="00142EEC"/>
    <w:rsid w:val="00146055"/>
    <w:rsid w:val="001469FF"/>
    <w:rsid w:val="00146B0B"/>
    <w:rsid w:val="001531A0"/>
    <w:rsid w:val="0015378D"/>
    <w:rsid w:val="001573ED"/>
    <w:rsid w:val="0016072C"/>
    <w:rsid w:val="00161826"/>
    <w:rsid w:val="001646EF"/>
    <w:rsid w:val="00164E40"/>
    <w:rsid w:val="00164EE0"/>
    <w:rsid w:val="0016704F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041F"/>
    <w:rsid w:val="001C102B"/>
    <w:rsid w:val="001C54CE"/>
    <w:rsid w:val="001C7663"/>
    <w:rsid w:val="001D0CF7"/>
    <w:rsid w:val="001D24C4"/>
    <w:rsid w:val="001D5797"/>
    <w:rsid w:val="001D60B0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1F7424"/>
    <w:rsid w:val="00201A49"/>
    <w:rsid w:val="0020262B"/>
    <w:rsid w:val="00205EAF"/>
    <w:rsid w:val="002171AE"/>
    <w:rsid w:val="00230325"/>
    <w:rsid w:val="002330CB"/>
    <w:rsid w:val="00233869"/>
    <w:rsid w:val="00234CF0"/>
    <w:rsid w:val="00235AA6"/>
    <w:rsid w:val="002402F8"/>
    <w:rsid w:val="002418B7"/>
    <w:rsid w:val="002428A1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CD6"/>
    <w:rsid w:val="002A2691"/>
    <w:rsid w:val="002A5253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1806"/>
    <w:rsid w:val="00304663"/>
    <w:rsid w:val="003218FE"/>
    <w:rsid w:val="0032292B"/>
    <w:rsid w:val="0032762B"/>
    <w:rsid w:val="00337A6C"/>
    <w:rsid w:val="00345226"/>
    <w:rsid w:val="00346537"/>
    <w:rsid w:val="00355226"/>
    <w:rsid w:val="00361275"/>
    <w:rsid w:val="003614E0"/>
    <w:rsid w:val="00364273"/>
    <w:rsid w:val="00367E91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677"/>
    <w:rsid w:val="003D5BE4"/>
    <w:rsid w:val="003E1CA6"/>
    <w:rsid w:val="003E25D8"/>
    <w:rsid w:val="003E2DD1"/>
    <w:rsid w:val="003E3EC3"/>
    <w:rsid w:val="003E5D13"/>
    <w:rsid w:val="003F2CED"/>
    <w:rsid w:val="003F421A"/>
    <w:rsid w:val="003F4BB1"/>
    <w:rsid w:val="00405E11"/>
    <w:rsid w:val="00411070"/>
    <w:rsid w:val="00412A19"/>
    <w:rsid w:val="00416435"/>
    <w:rsid w:val="00417EE9"/>
    <w:rsid w:val="004205A5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639A"/>
    <w:rsid w:val="00457757"/>
    <w:rsid w:val="00457C48"/>
    <w:rsid w:val="00464254"/>
    <w:rsid w:val="00466E64"/>
    <w:rsid w:val="0047139F"/>
    <w:rsid w:val="00471FD0"/>
    <w:rsid w:val="00473802"/>
    <w:rsid w:val="00477A6D"/>
    <w:rsid w:val="00481B39"/>
    <w:rsid w:val="00483A2C"/>
    <w:rsid w:val="00486B33"/>
    <w:rsid w:val="00490A32"/>
    <w:rsid w:val="00492F53"/>
    <w:rsid w:val="004932F2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E0666"/>
    <w:rsid w:val="004E6508"/>
    <w:rsid w:val="004F1EB0"/>
    <w:rsid w:val="004F26FB"/>
    <w:rsid w:val="004F6470"/>
    <w:rsid w:val="00502EA9"/>
    <w:rsid w:val="00505E39"/>
    <w:rsid w:val="005068DC"/>
    <w:rsid w:val="00507E3C"/>
    <w:rsid w:val="00512F37"/>
    <w:rsid w:val="00513F37"/>
    <w:rsid w:val="005149D2"/>
    <w:rsid w:val="005227B7"/>
    <w:rsid w:val="00522E9B"/>
    <w:rsid w:val="00534F9F"/>
    <w:rsid w:val="005354F7"/>
    <w:rsid w:val="00537AA8"/>
    <w:rsid w:val="00543206"/>
    <w:rsid w:val="00557844"/>
    <w:rsid w:val="00562B23"/>
    <w:rsid w:val="005744E3"/>
    <w:rsid w:val="00585D3A"/>
    <w:rsid w:val="005A3184"/>
    <w:rsid w:val="005A3B0B"/>
    <w:rsid w:val="005A50C6"/>
    <w:rsid w:val="005B505B"/>
    <w:rsid w:val="005B6336"/>
    <w:rsid w:val="005B6420"/>
    <w:rsid w:val="005C3926"/>
    <w:rsid w:val="005C5FF4"/>
    <w:rsid w:val="005D3896"/>
    <w:rsid w:val="005F0660"/>
    <w:rsid w:val="005F0AB7"/>
    <w:rsid w:val="005F2DD8"/>
    <w:rsid w:val="005F7E0C"/>
    <w:rsid w:val="00602E98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42EF5"/>
    <w:rsid w:val="00652527"/>
    <w:rsid w:val="0065329E"/>
    <w:rsid w:val="00653A5E"/>
    <w:rsid w:val="006613B5"/>
    <w:rsid w:val="006652B1"/>
    <w:rsid w:val="00666220"/>
    <w:rsid w:val="00675D06"/>
    <w:rsid w:val="00677A74"/>
    <w:rsid w:val="0069011B"/>
    <w:rsid w:val="00694A55"/>
    <w:rsid w:val="006A75CF"/>
    <w:rsid w:val="006B47F1"/>
    <w:rsid w:val="006B6E6A"/>
    <w:rsid w:val="006C2BD9"/>
    <w:rsid w:val="006C5F62"/>
    <w:rsid w:val="006D494A"/>
    <w:rsid w:val="006E6AD5"/>
    <w:rsid w:val="00703C72"/>
    <w:rsid w:val="00704EA6"/>
    <w:rsid w:val="0071278C"/>
    <w:rsid w:val="00726C6D"/>
    <w:rsid w:val="00733B27"/>
    <w:rsid w:val="0075666D"/>
    <w:rsid w:val="007578C6"/>
    <w:rsid w:val="0077209E"/>
    <w:rsid w:val="00772B04"/>
    <w:rsid w:val="00774F17"/>
    <w:rsid w:val="00782A20"/>
    <w:rsid w:val="00783E0C"/>
    <w:rsid w:val="00792802"/>
    <w:rsid w:val="0079386D"/>
    <w:rsid w:val="00797353"/>
    <w:rsid w:val="007A00B6"/>
    <w:rsid w:val="007A0F4E"/>
    <w:rsid w:val="007B1FB4"/>
    <w:rsid w:val="007B2483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07B9C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1CD2"/>
    <w:rsid w:val="0086781F"/>
    <w:rsid w:val="00873C4A"/>
    <w:rsid w:val="00874BDE"/>
    <w:rsid w:val="00877E86"/>
    <w:rsid w:val="008808CC"/>
    <w:rsid w:val="00885F26"/>
    <w:rsid w:val="0089578A"/>
    <w:rsid w:val="008A38B2"/>
    <w:rsid w:val="008A70B1"/>
    <w:rsid w:val="008B4D0B"/>
    <w:rsid w:val="008B6753"/>
    <w:rsid w:val="008B7C87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283D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281F"/>
    <w:rsid w:val="009D472A"/>
    <w:rsid w:val="009D5DA6"/>
    <w:rsid w:val="009E297C"/>
    <w:rsid w:val="009E3962"/>
    <w:rsid w:val="009F2725"/>
    <w:rsid w:val="009F3EC9"/>
    <w:rsid w:val="009F5D50"/>
    <w:rsid w:val="009F7694"/>
    <w:rsid w:val="00A02D04"/>
    <w:rsid w:val="00A03700"/>
    <w:rsid w:val="00A03F3D"/>
    <w:rsid w:val="00A10E3B"/>
    <w:rsid w:val="00A14F37"/>
    <w:rsid w:val="00A2088A"/>
    <w:rsid w:val="00A26363"/>
    <w:rsid w:val="00A330C1"/>
    <w:rsid w:val="00A374AF"/>
    <w:rsid w:val="00A41F14"/>
    <w:rsid w:val="00A52D7E"/>
    <w:rsid w:val="00A54D26"/>
    <w:rsid w:val="00A550C6"/>
    <w:rsid w:val="00A55FB2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976"/>
    <w:rsid w:val="00A80D96"/>
    <w:rsid w:val="00A81A3A"/>
    <w:rsid w:val="00A876DB"/>
    <w:rsid w:val="00A92AF8"/>
    <w:rsid w:val="00A94013"/>
    <w:rsid w:val="00A94060"/>
    <w:rsid w:val="00A95A44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5BEB"/>
    <w:rsid w:val="00B0614B"/>
    <w:rsid w:val="00B06230"/>
    <w:rsid w:val="00B071DA"/>
    <w:rsid w:val="00B1215A"/>
    <w:rsid w:val="00B12F63"/>
    <w:rsid w:val="00B1675A"/>
    <w:rsid w:val="00B20D3B"/>
    <w:rsid w:val="00B22248"/>
    <w:rsid w:val="00B24038"/>
    <w:rsid w:val="00B26850"/>
    <w:rsid w:val="00B32161"/>
    <w:rsid w:val="00B33202"/>
    <w:rsid w:val="00B3693C"/>
    <w:rsid w:val="00B459F7"/>
    <w:rsid w:val="00B4631D"/>
    <w:rsid w:val="00B520B8"/>
    <w:rsid w:val="00B52CA6"/>
    <w:rsid w:val="00B53D0B"/>
    <w:rsid w:val="00B551C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507D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2E4"/>
    <w:rsid w:val="00C27859"/>
    <w:rsid w:val="00C27BEA"/>
    <w:rsid w:val="00C33C6F"/>
    <w:rsid w:val="00C3520A"/>
    <w:rsid w:val="00C44125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752AD"/>
    <w:rsid w:val="00C81686"/>
    <w:rsid w:val="00C83D5F"/>
    <w:rsid w:val="00C8726B"/>
    <w:rsid w:val="00C9216F"/>
    <w:rsid w:val="00C95285"/>
    <w:rsid w:val="00C95737"/>
    <w:rsid w:val="00CA2CEC"/>
    <w:rsid w:val="00CA3C62"/>
    <w:rsid w:val="00CA55A7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2E1C"/>
    <w:rsid w:val="00CD5BDD"/>
    <w:rsid w:val="00CD6A5A"/>
    <w:rsid w:val="00CE2E89"/>
    <w:rsid w:val="00CE3282"/>
    <w:rsid w:val="00CE553C"/>
    <w:rsid w:val="00CF2520"/>
    <w:rsid w:val="00CF4E4E"/>
    <w:rsid w:val="00CF6E04"/>
    <w:rsid w:val="00D13F53"/>
    <w:rsid w:val="00D142AD"/>
    <w:rsid w:val="00D209E3"/>
    <w:rsid w:val="00D227AE"/>
    <w:rsid w:val="00D24C8A"/>
    <w:rsid w:val="00D24E36"/>
    <w:rsid w:val="00D3119A"/>
    <w:rsid w:val="00D31C49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683B"/>
    <w:rsid w:val="00D86CDA"/>
    <w:rsid w:val="00D91975"/>
    <w:rsid w:val="00D92228"/>
    <w:rsid w:val="00D94834"/>
    <w:rsid w:val="00D974AB"/>
    <w:rsid w:val="00DA48B4"/>
    <w:rsid w:val="00DB1D56"/>
    <w:rsid w:val="00DB4E86"/>
    <w:rsid w:val="00DB6A96"/>
    <w:rsid w:val="00DC1907"/>
    <w:rsid w:val="00DC2C89"/>
    <w:rsid w:val="00DC3479"/>
    <w:rsid w:val="00DC35B4"/>
    <w:rsid w:val="00DC625C"/>
    <w:rsid w:val="00DD061A"/>
    <w:rsid w:val="00DD1C53"/>
    <w:rsid w:val="00DD503A"/>
    <w:rsid w:val="00DD5BF4"/>
    <w:rsid w:val="00DD6EE5"/>
    <w:rsid w:val="00DE7084"/>
    <w:rsid w:val="00DE79C1"/>
    <w:rsid w:val="00DF0FDE"/>
    <w:rsid w:val="00DF2602"/>
    <w:rsid w:val="00DF35C3"/>
    <w:rsid w:val="00DF3A1C"/>
    <w:rsid w:val="00DF4786"/>
    <w:rsid w:val="00DF6A34"/>
    <w:rsid w:val="00DF720A"/>
    <w:rsid w:val="00E01617"/>
    <w:rsid w:val="00E033DC"/>
    <w:rsid w:val="00E05F9C"/>
    <w:rsid w:val="00E23665"/>
    <w:rsid w:val="00E320DA"/>
    <w:rsid w:val="00E34A6C"/>
    <w:rsid w:val="00E36E9E"/>
    <w:rsid w:val="00E447C6"/>
    <w:rsid w:val="00E4772D"/>
    <w:rsid w:val="00E523F1"/>
    <w:rsid w:val="00E60926"/>
    <w:rsid w:val="00E6206B"/>
    <w:rsid w:val="00E62962"/>
    <w:rsid w:val="00E63483"/>
    <w:rsid w:val="00E63C3A"/>
    <w:rsid w:val="00E6511D"/>
    <w:rsid w:val="00E65638"/>
    <w:rsid w:val="00E71D20"/>
    <w:rsid w:val="00E71ED9"/>
    <w:rsid w:val="00E7241D"/>
    <w:rsid w:val="00E7328C"/>
    <w:rsid w:val="00E74821"/>
    <w:rsid w:val="00E825F2"/>
    <w:rsid w:val="00E82C33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D3997"/>
    <w:rsid w:val="00EE430D"/>
    <w:rsid w:val="00EE6EA6"/>
    <w:rsid w:val="00EF2A7C"/>
    <w:rsid w:val="00EF2CF6"/>
    <w:rsid w:val="00F039A4"/>
    <w:rsid w:val="00F05187"/>
    <w:rsid w:val="00F054D3"/>
    <w:rsid w:val="00F074DC"/>
    <w:rsid w:val="00F103CC"/>
    <w:rsid w:val="00F160D2"/>
    <w:rsid w:val="00F21631"/>
    <w:rsid w:val="00F27692"/>
    <w:rsid w:val="00F27F0C"/>
    <w:rsid w:val="00F3149D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E06"/>
    <w:rsid w:val="00F750C6"/>
    <w:rsid w:val="00F75E6F"/>
    <w:rsid w:val="00F81A0C"/>
    <w:rsid w:val="00F836F3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081"/>
    <w:rsid w:val="00FC06D7"/>
    <w:rsid w:val="00FC20DC"/>
    <w:rsid w:val="00FC2175"/>
    <w:rsid w:val="00FC2B95"/>
    <w:rsid w:val="00FC55D9"/>
    <w:rsid w:val="00FD08BA"/>
    <w:rsid w:val="00FD14DD"/>
    <w:rsid w:val="00FD242F"/>
    <w:rsid w:val="00FD76BC"/>
    <w:rsid w:val="00FD773B"/>
    <w:rsid w:val="00FE3D52"/>
    <w:rsid w:val="00FE4AB7"/>
    <w:rsid w:val="00FE536A"/>
    <w:rsid w:val="00FF05AC"/>
    <w:rsid w:val="00FF40C6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2447F"/>
  <w15:chartTrackingRefBased/>
  <w15:docId w15:val="{73095F39-89DB-4B70-9078-B2F98F5F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Nagwek7Znak">
    <w:name w:val="Nagłówek 7 Znak"/>
    <w:link w:val="Nagwek7"/>
    <w:uiPriority w:val="9"/>
    <w:semiHidden/>
    <w:rsid w:val="00025EDF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1360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2026-04-01T07:00:00Z</dcterms:created>
  <dcterms:modified xsi:type="dcterms:W3CDTF">2026-04-01T07:00:00Z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