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9F1" w14:textId="7DE74651" w:rsidR="002415C4" w:rsidRDefault="00000000" w:rsidP="000327C4">
      <w:pPr>
        <w:pStyle w:val="NormalnyWeb"/>
        <w:spacing w:before="0"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„</w:t>
      </w:r>
      <w:r w:rsidR="00204C23" w:rsidRPr="00204C23">
        <w:rPr>
          <w:rFonts w:ascii="Calibri" w:hAnsi="Calibri" w:cs="Calibri"/>
          <w:b/>
          <w:bCs/>
          <w:sz w:val="40"/>
          <w:szCs w:val="40"/>
        </w:rPr>
        <w:t>Zmiany w zamówieniach publicznych w 2026 roku w praktyce – przygotowanie postępowania i unikanie błędów na podstawie rzeczywistych przykładów.</w:t>
      </w:r>
      <w:r>
        <w:rPr>
          <w:rFonts w:ascii="Calibri" w:hAnsi="Calibri" w:cs="Calibri"/>
          <w:b/>
          <w:bCs/>
          <w:sz w:val="40"/>
          <w:szCs w:val="40"/>
        </w:rPr>
        <w:t>”</w:t>
      </w:r>
    </w:p>
    <w:p w14:paraId="3E015E3B" w14:textId="0D589767" w:rsidR="002415C4" w:rsidRDefault="00000000">
      <w:pPr>
        <w:pStyle w:val="NormalnyWeb"/>
        <w:spacing w:before="0" w:after="0"/>
        <w:jc w:val="center"/>
        <w:rPr>
          <w:rFonts w:ascii="Calibri" w:hAnsi="Calibri" w:cs="Calibri"/>
          <w:b/>
          <w:i/>
          <w:sz w:val="18"/>
          <w:szCs w:val="18"/>
        </w:rPr>
      </w:pPr>
      <w:r>
        <w:rPr>
          <w:rFonts w:ascii="Calibri" w:hAnsi="Calibri" w:cs="Calibri"/>
          <w:b/>
          <w:sz w:val="40"/>
          <w:szCs w:val="40"/>
        </w:rPr>
        <w:t>mec. Łukasz Mackiewicz</w:t>
      </w:r>
      <w:r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>,</w:t>
      </w:r>
      <w:r w:rsidR="000327C4"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 xml:space="preserve"> </w:t>
      </w:r>
      <w:r w:rsidR="00C831DD"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>OLSZTYN</w:t>
      </w:r>
      <w:r>
        <w:rPr>
          <w:rFonts w:ascii="Calibri" w:hAnsi="Calibri" w:cs="Calibri"/>
          <w:b/>
          <w:sz w:val="40"/>
          <w:szCs w:val="40"/>
        </w:rPr>
        <w:t xml:space="preserve">, </w:t>
      </w:r>
      <w:r w:rsidR="00C831DD">
        <w:rPr>
          <w:rFonts w:ascii="Calibri" w:hAnsi="Calibri" w:cs="Calibri"/>
          <w:b/>
          <w:sz w:val="40"/>
          <w:szCs w:val="40"/>
        </w:rPr>
        <w:t>27</w:t>
      </w:r>
      <w:r>
        <w:rPr>
          <w:rFonts w:ascii="Calibri" w:hAnsi="Calibri" w:cs="Calibri"/>
          <w:b/>
          <w:sz w:val="40"/>
          <w:szCs w:val="40"/>
        </w:rPr>
        <w:t>.</w:t>
      </w:r>
      <w:r w:rsidR="000327C4">
        <w:rPr>
          <w:rFonts w:ascii="Calibri" w:hAnsi="Calibri" w:cs="Calibri"/>
          <w:b/>
          <w:sz w:val="40"/>
          <w:szCs w:val="40"/>
        </w:rPr>
        <w:t>0</w:t>
      </w:r>
      <w:r w:rsidR="00204C23">
        <w:rPr>
          <w:rFonts w:ascii="Calibri" w:hAnsi="Calibri" w:cs="Calibri"/>
          <w:b/>
          <w:sz w:val="40"/>
          <w:szCs w:val="40"/>
        </w:rPr>
        <w:t>5</w:t>
      </w:r>
      <w:r>
        <w:rPr>
          <w:rFonts w:ascii="Calibri" w:hAnsi="Calibri" w:cs="Calibri"/>
          <w:b/>
          <w:sz w:val="40"/>
          <w:szCs w:val="40"/>
        </w:rPr>
        <w:t>.202</w:t>
      </w:r>
      <w:r w:rsidR="000327C4">
        <w:rPr>
          <w:rFonts w:ascii="Calibri" w:hAnsi="Calibri" w:cs="Calibri"/>
          <w:b/>
          <w:sz w:val="40"/>
          <w:szCs w:val="40"/>
        </w:rPr>
        <w:t>6</w:t>
      </w:r>
      <w:r>
        <w:rPr>
          <w:rFonts w:ascii="Calibri" w:hAnsi="Calibri" w:cs="Calibri"/>
          <w:b/>
          <w:sz w:val="40"/>
          <w:szCs w:val="40"/>
        </w:rPr>
        <w:t xml:space="preserve"> r.</w:t>
      </w:r>
    </w:p>
    <w:p w14:paraId="3D391273" w14:textId="5A16F790" w:rsidR="00CB376F" w:rsidRPr="00204C23" w:rsidRDefault="00CB376F" w:rsidP="00204C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 xml:space="preserve">*mec. Łukasz Mackiewicz  </w:t>
      </w:r>
      <w:r>
        <w:rPr>
          <w:rFonts w:ascii="Calibri" w:hAnsi="Calibri" w:cs="Calibri"/>
          <w:i/>
          <w:sz w:val="18"/>
          <w:szCs w:val="18"/>
        </w:rPr>
        <w:t xml:space="preserve">-  </w:t>
      </w:r>
      <w:r w:rsidR="00204C23" w:rsidRPr="00204C23">
        <w:rPr>
          <w:rFonts w:ascii="Calibri" w:hAnsi="Calibri" w:cs="Calibri"/>
          <w:i/>
          <w:sz w:val="18"/>
          <w:szCs w:val="18"/>
        </w:rPr>
        <w:t>radca prawny specjalizujący się w zamówieniach publicznych, posiadający doświadczenie zarówno po stronie zamawiającego, jak i w obszarze kontroli zamówień publicznych.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Dzięki wieloletniej praktyce zawodowej dysponuje szeroką wiedzą obejmującą przygotowanie dokumentacji przetargowej, prowadzenie postępowań o udzielenie zamówienia publicznego, a także zagadnienia związane z finansowaniem projektów infrastrukturalnych i środowiskowych. Specjalizuje się również w problematyce odpowiedzialności osób zajmujących kierownicze stanowiska w administracji publicznej, pracowników zamawiającego oraz podmiotów uczestniczących w postępowaniach przetargowych.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Występuje jako pełnomocnik zarówno wykonawców, jak i zamawiających w postępowaniach przed sądami wszystkich instancji oraz przed Krajową Izbą Odwoławczą. Jest partnerem zarządzającym w kancelarii doradzającej w zakresie zamówień publicznych.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Ceniony za rzetelną wiedzę z zakresu zamówień publicznych oraz projektów unijnych. Uczestnicy szkoleń podkreślają jego dynamiczny i angażujący sposób prowadzenia zajęć, jasny i konkretny przekaz oraz wysoką interakcję z uczestnikami.</w:t>
      </w:r>
    </w:p>
    <w:p w14:paraId="7A984E0D" w14:textId="77777777" w:rsidR="002415C4" w:rsidRDefault="00000000" w:rsidP="006B0D06">
      <w:pPr>
        <w:spacing w:before="24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Szkolenie zostało opracowane z myślą o osobach odpowiedzialnych za przygotowanie i przeprowadzenie postępowań o udzielenie zamówienia publicznego. Zajęcia będą miały formułę praktyczną – uczestnicy przeanalizują konkretne przypadki (</w:t>
      </w:r>
      <w:proofErr w:type="spellStart"/>
      <w:r>
        <w:rPr>
          <w:rFonts w:ascii="Calibri" w:hAnsi="Calibri" w:cs="Calibri"/>
          <w:bCs/>
          <w:sz w:val="22"/>
          <w:szCs w:val="22"/>
        </w:rPr>
        <w:t>case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studies</w:t>
      </w:r>
      <w:proofErr w:type="spellEnd"/>
      <w:r>
        <w:rPr>
          <w:rFonts w:ascii="Calibri" w:hAnsi="Calibri" w:cs="Calibri"/>
          <w:bCs/>
          <w:sz w:val="22"/>
          <w:szCs w:val="22"/>
        </w:rPr>
        <w:t>), co pozwoli lepiej zrozumieć złożone zagadnienia proceduralne i podnieść jakość prowadzonych postępowań. Udział w szkoleniu umożliwi:</w:t>
      </w:r>
    </w:p>
    <w:p w14:paraId="3FF7433B" w14:textId="5107E116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uporządkowanie wiedzy w zakresie przygotowania dokumentacji przetargowej,</w:t>
      </w:r>
    </w:p>
    <w:p w14:paraId="0BDB07AD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identyfikację najczęstszych błędów po stronie zamawiającego,</w:t>
      </w:r>
    </w:p>
    <w:p w14:paraId="6CC23822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przećwiczenie rozwiązań w oparciu o realne sytuacje,</w:t>
      </w:r>
    </w:p>
    <w:p w14:paraId="71F06AB5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wzmocnienie kompetencji członków komisji przetargowych.</w:t>
      </w:r>
    </w:p>
    <w:p w14:paraId="2F3A936C" w14:textId="7F274BA5" w:rsidR="002415C4" w:rsidRDefault="00000000" w:rsidP="006B0D06">
      <w:p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Szkolenie prowadzone będzie w oparciu o aktualne orzecznictwo i praktykę organów kontrolnych</w:t>
      </w:r>
      <w:r w:rsidR="005E06E4">
        <w:rPr>
          <w:rFonts w:ascii="Calibri" w:hAnsi="Calibri" w:cs="Calibri"/>
          <w:bCs/>
          <w:sz w:val="22"/>
          <w:szCs w:val="22"/>
        </w:rPr>
        <w:t>. Na szkoleniu omówione zostaną a</w:t>
      </w:r>
      <w:r w:rsidR="005E06E4" w:rsidRPr="005E06E4">
        <w:rPr>
          <w:rFonts w:ascii="Calibri" w:hAnsi="Calibri" w:cs="Calibri"/>
          <w:bCs/>
          <w:sz w:val="22"/>
          <w:szCs w:val="22"/>
        </w:rPr>
        <w:t>ktualne i nadchodzące zmiany w PZP</w:t>
      </w:r>
      <w:r w:rsidR="005E06E4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75365ED6" w14:textId="77777777" w:rsidR="002415C4" w:rsidRDefault="00000000" w:rsidP="006B0D0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ZAKRES SZKOLENIA:</w:t>
      </w:r>
    </w:p>
    <w:p w14:paraId="41E13852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Hlk207802778"/>
      <w:r>
        <w:rPr>
          <w:rFonts w:ascii="Calibri" w:hAnsi="Calibri" w:cs="Calibri"/>
          <w:b/>
          <w:sz w:val="22"/>
          <w:szCs w:val="22"/>
        </w:rPr>
        <w:t>BLOK I</w:t>
      </w:r>
      <w:r>
        <w:t xml:space="preserve">: </w:t>
      </w:r>
      <w:r>
        <w:rPr>
          <w:rFonts w:ascii="Calibri" w:hAnsi="Calibri" w:cs="Calibri"/>
          <w:b/>
          <w:sz w:val="22"/>
          <w:szCs w:val="22"/>
        </w:rPr>
        <w:t>WPROWADZENIE. Przedstawienie aktualnego stanu prawnego, zmiany w Prawie zamówień publicznych: wyłączenie wykonawców z państw trzecich oraz podwyższenie progu do 170 000 zł.</w:t>
      </w:r>
    </w:p>
    <w:bookmarkEnd w:id="0"/>
    <w:p w14:paraId="783A6FF0" w14:textId="77777777" w:rsidR="002415C4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BLOK II: PRZYGOTOWANIE POSTĘPOWANIA –  obowiązki komórek merytorycznych oraz zwiększona odpowiedzialność.</w:t>
      </w:r>
    </w:p>
    <w:p w14:paraId="74E53555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 postępowania o udzielenie zamówienia czy plan zamówień – różnice w obowiązkowych czynnościach – zamieszczanie, aktualizowanie.</w:t>
      </w:r>
      <w:r>
        <w:rPr>
          <w:rFonts w:ascii="Calibri" w:hAnsi="Calibri" w:cs="Calibri"/>
          <w:sz w:val="22"/>
          <w:szCs w:val="22"/>
        </w:rPr>
        <w:tab/>
      </w:r>
    </w:p>
    <w:p w14:paraId="183BF47E" w14:textId="55E24950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</w:rPr>
        <w:t xml:space="preserve">Zamówienia do </w:t>
      </w:r>
      <w:r w:rsidR="005E06E4">
        <w:rPr>
          <w:rFonts w:ascii="Calibri" w:hAnsi="Calibri" w:cs="Calibri"/>
          <w:sz w:val="22"/>
          <w:szCs w:val="22"/>
        </w:rPr>
        <w:t>170 tys. zł</w:t>
      </w:r>
      <w:r>
        <w:rPr>
          <w:rFonts w:ascii="Calibri" w:hAnsi="Calibri" w:cs="Calibri"/>
          <w:sz w:val="22"/>
          <w:szCs w:val="22"/>
        </w:rPr>
        <w:t xml:space="preserve"> – o czym warto wiedzieć, by zrealizować zamówienie z przestrzeganiem obowiązujących zasad. </w:t>
      </w:r>
    </w:p>
    <w:p w14:paraId="4F1F4DEE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Procedury konkurencyjności zamówień publicznych w oparciu o zmianę „Wytycznych dotyczących kwalifikowalności wydatków na lata 2021-2027”. </w:t>
      </w:r>
    </w:p>
    <w:p w14:paraId="7EFD7A39" w14:textId="77777777" w:rsidR="002415C4" w:rsidRDefault="00000000">
      <w:pPr>
        <w:numPr>
          <w:ilvl w:val="0"/>
          <w:numId w:val="3"/>
        </w:numPr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>Szacowanie wartości zamówienia – konieczność modyfikacji niektórych utartych wzorców:</w:t>
      </w:r>
    </w:p>
    <w:p w14:paraId="5D46E9F2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mieszane – ich wpływ na ustalenie wartości. CASE STUDY.</w:t>
      </w:r>
    </w:p>
    <w:p w14:paraId="0489D1E4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podzielone na części z uwzględnieniem rodzaju zamówienia (RB, D, U) – kiedy obowiązkowa  agregacja zamówień. Opinie UZP w zakresie szacowania.</w:t>
      </w:r>
    </w:p>
    <w:p w14:paraId="544CA1DA" w14:textId="77777777" w:rsidR="006B0D06" w:rsidRDefault="006B0D06" w:rsidP="006B0D06">
      <w:pPr>
        <w:jc w:val="both"/>
      </w:pPr>
    </w:p>
    <w:p w14:paraId="7EE85CC1" w14:textId="77777777" w:rsidR="006B0D06" w:rsidRDefault="006B0D06" w:rsidP="006B0D06">
      <w:pPr>
        <w:jc w:val="both"/>
      </w:pPr>
    </w:p>
    <w:p w14:paraId="3645DDAA" w14:textId="77777777" w:rsidR="002415C4" w:rsidRDefault="002415C4">
      <w:pPr>
        <w:pStyle w:val="Akapitzlist"/>
        <w:spacing w:after="0"/>
        <w:ind w:left="1068"/>
        <w:jc w:val="both"/>
      </w:pPr>
    </w:p>
    <w:p w14:paraId="31558153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Różne źródła finansowania  - jak uwzględniać w planie, gdy nie jest jeszcze podpisana umowa na dofinansowanie np. z projektu UE.</w:t>
      </w:r>
    </w:p>
    <w:p w14:paraId="384F1A54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powtórzeniowe z art. 214 ust. 1 pkt 7 – czy warto przewidywać? CASE STUDY.</w:t>
      </w:r>
    </w:p>
    <w:p w14:paraId="4DB1E5CD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dla kilku jednostek a jedno źródło finansowania. Zamówienia jednostek z odrębnością finansową.</w:t>
      </w:r>
    </w:p>
    <w:p w14:paraId="3CC9C8C8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Zasady udzielenia zamówień nieplanowanych. CASE STUDY.</w:t>
      </w:r>
    </w:p>
    <w:p w14:paraId="24287C4C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Powody nie podzielenia zamówienia na części. CASE STUDY.</w:t>
      </w:r>
    </w:p>
    <w:p w14:paraId="403528B4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przedmiotu zamówienia - w jakich sytuacjach można wskazać znaki towarowe, patenty lub pochodzenia, równoważność. CASE STUDY.</w:t>
      </w:r>
    </w:p>
    <w:p w14:paraId="52676AF7" w14:textId="6A9D7F64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Podmiotowe i przedmiotowe środki dowodowe – zasady i forma uzupełnienia. </w:t>
      </w:r>
      <w:r w:rsidR="00D05A62">
        <w:rPr>
          <w:rFonts w:ascii="Calibri" w:hAnsi="Calibri" w:cs="Calibri"/>
          <w:sz w:val="22"/>
          <w:szCs w:val="22"/>
        </w:rPr>
        <w:t xml:space="preserve">Jak i czy </w:t>
      </w:r>
      <w:r w:rsidR="00D05A62" w:rsidRPr="00D05A62">
        <w:rPr>
          <w:rFonts w:ascii="Calibri" w:hAnsi="Calibri" w:cs="Calibri"/>
          <w:sz w:val="22"/>
          <w:szCs w:val="22"/>
        </w:rPr>
        <w:t>ograniczyć dostęp do polskiego rynku zamówień publicznych wykonawcom z państw trzecich, które nie są stroną Porozumienia WTO w sprawie zamówień rządowych ani nie zawarły stosownych umów z UE</w:t>
      </w:r>
      <w:r w:rsidR="00D05A62">
        <w:rPr>
          <w:rFonts w:ascii="Calibri" w:hAnsi="Calibri" w:cs="Calibri"/>
          <w:sz w:val="22"/>
          <w:szCs w:val="22"/>
        </w:rPr>
        <w:t>?</w:t>
      </w:r>
    </w:p>
    <w:p w14:paraId="647F5CF2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Wykluczenie z postępowania. CASE STUDY.</w:t>
      </w:r>
    </w:p>
    <w:p w14:paraId="051D9A3E" w14:textId="77777777" w:rsidR="002415C4" w:rsidRDefault="00000000">
      <w:pPr>
        <w:numPr>
          <w:ilvl w:val="0"/>
          <w:numId w:val="3"/>
        </w:numPr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>CASE STUDY - warunki udziału w postępowaniu – proporcjonalność, czego warunki mogą dotyczyć, w jaki sposób wykonawca potwierdza, że warunek spełnia:</w:t>
      </w:r>
    </w:p>
    <w:p w14:paraId="5BB2E655" w14:textId="77777777" w:rsidR="002415C4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t>Trzy możliwości wykazania przez wykonawcę spełnienia warunku udziału – co należy uwzględnić w dokumentach zamówienia. CASE STUDY.</w:t>
      </w:r>
    </w:p>
    <w:p w14:paraId="793B325A" w14:textId="77777777" w:rsidR="002415C4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t>Podmiotowe środki dowodowe – możliwości weryfikacji spełnienia warunku udziału – przykład warunku doświadczenia w RB z wskazaniem na możliwości zamawiającego co do sposobu weryfikacji warunku.</w:t>
      </w:r>
    </w:p>
    <w:p w14:paraId="6F07A0FA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Kryteria oceny ofert – ustalenie kryteriów w kontekście maksymalnej wagi ceny 60% a wpływ na wynik postępowania. Kryteria środowiskowe i powiązanie ich zastosowania z zasadą efektywności ekonomicznej – wpływ na obowiązek zamieszczania ogłoszenia o wykonaniu umowy. Jaka jest rola osób merytorycznych przy właściwym konstruowaniu kryteriów oceny ofert? CASE STUDY.</w:t>
      </w:r>
    </w:p>
    <w:p w14:paraId="12B78172" w14:textId="77777777" w:rsidR="002415C4" w:rsidRDefault="00000000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w sprawie zamówienia publicznego w obecnym stanie prawnym. Obowiązkowa waloryzacja. CASE STUDY.</w:t>
      </w:r>
    </w:p>
    <w:p w14:paraId="24EDB82D" w14:textId="77777777" w:rsidR="002415C4" w:rsidRDefault="00000000">
      <w:pPr>
        <w:jc w:val="both"/>
        <w:rPr>
          <w:rFonts w:cs="Calibri"/>
        </w:rPr>
      </w:pPr>
      <w:r>
        <w:rPr>
          <w:rFonts w:ascii="Calibri" w:hAnsi="Calibri" w:cs="Calibri"/>
          <w:b/>
          <w:sz w:val="22"/>
          <w:szCs w:val="22"/>
        </w:rPr>
        <w:t>BLOK III: WZORCOWE PRZEPROWADZENIE POSTĘPOWANIA O UDZIELENIE ZAMÓWIENIA – najczęstsze błędy i nieprawidłowości komórek merytorycznych mające skutki dla dalszej procedury:</w:t>
      </w:r>
    </w:p>
    <w:p w14:paraId="4EBF4DF2" w14:textId="77777777" w:rsidR="002415C4" w:rsidRDefault="00000000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Specyfikacja Warunków Zamówienia (SWZ) lub Opis Potrzeb i Wymagań (</w:t>
      </w:r>
      <w:proofErr w:type="spellStart"/>
      <w:r>
        <w:t>OPiW</w:t>
      </w:r>
      <w:proofErr w:type="spellEnd"/>
      <w:r>
        <w:t xml:space="preserve">) – zależność od wyboru trybu postępowania  o udzielenie zamówienia – wymagany zakres informacyjny. </w:t>
      </w:r>
    </w:p>
    <w:p w14:paraId="1C1E0E37" w14:textId="77777777" w:rsidR="002415C4" w:rsidRDefault="00000000">
      <w:pPr>
        <w:pStyle w:val="Akapitzlist"/>
        <w:numPr>
          <w:ilvl w:val="0"/>
          <w:numId w:val="4"/>
        </w:numPr>
        <w:spacing w:after="0"/>
        <w:jc w:val="both"/>
      </w:pPr>
      <w:bookmarkStart w:id="1" w:name="_Hlk71026152"/>
      <w:r>
        <w:t xml:space="preserve">Kwalifikacja podmiotowa wykonawcy – obligatoryjna i fakultatywna – decyzje zamawiającego, w tym prawo do weryfikacji poprzez możliwość żądania podmiotowych środków dowodowych.  </w:t>
      </w:r>
    </w:p>
    <w:p w14:paraId="48140A87" w14:textId="77777777" w:rsidR="002415C4" w:rsidRDefault="00000000">
      <w:pPr>
        <w:pStyle w:val="Akapitzlist"/>
        <w:numPr>
          <w:ilvl w:val="0"/>
          <w:numId w:val="4"/>
        </w:numPr>
        <w:spacing w:after="0"/>
        <w:jc w:val="both"/>
      </w:pPr>
      <w:r>
        <w:t xml:space="preserve">Ogłoszenia. </w:t>
      </w:r>
    </w:p>
    <w:p w14:paraId="43E4BFE0" w14:textId="77777777" w:rsidR="002415C4" w:rsidRDefault="00000000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b/>
        </w:rPr>
      </w:pPr>
      <w:r>
        <w:t>Praktyczny przebieg procedury udzielenie zamówienia poniżej oraz powyżej progów unijnych.</w:t>
      </w:r>
    </w:p>
    <w:p w14:paraId="39A1BE41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bookmarkStart w:id="2" w:name="_Hlk71026187"/>
      <w:bookmarkEnd w:id="1"/>
      <w:r>
        <w:rPr>
          <w:rFonts w:ascii="Calibri" w:hAnsi="Calibri" w:cs="Calibri"/>
          <w:b/>
          <w:sz w:val="22"/>
          <w:szCs w:val="22"/>
        </w:rPr>
        <w:t>BLOK IV. Kontrola i odpowiedzialność  w praktyce – CASE STUDY</w:t>
      </w:r>
      <w:r>
        <w:rPr>
          <w:rFonts w:ascii="Calibri" w:hAnsi="Calibri" w:cs="Calibri"/>
          <w:bCs/>
          <w:sz w:val="22"/>
          <w:szCs w:val="22"/>
        </w:rPr>
        <w:t xml:space="preserve">: czego mogą obawiać się osoby odpowiedzialne za opis i szacowanie wartości zamówienia oraz osoby zasiadające w komisjach przetargowych. Nowoczesne metody kontroli, sankcje, procedura ukarania, prawne możliwości minimalizacji sankcji. </w:t>
      </w:r>
    </w:p>
    <w:p w14:paraId="54654C86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BLOK V. Podsumowanie szkolenia. Odpowiedzi na pytania uczestników szkolenia. </w:t>
      </w:r>
      <w:bookmarkEnd w:id="2"/>
    </w:p>
    <w:p w14:paraId="0D0CA134" w14:textId="77777777" w:rsidR="00D05A62" w:rsidRDefault="00D05A62">
      <w:pPr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  <w:sectPr w:rsidR="00D05A62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737" w:bottom="1134" w:left="737" w:header="720" w:footer="1021" w:gutter="0"/>
          <w:cols w:space="708"/>
          <w:docGrid w:linePitch="360"/>
        </w:sectPr>
      </w:pPr>
    </w:p>
    <w:p w14:paraId="3890F659" w14:textId="77777777" w:rsidR="002415C4" w:rsidRDefault="002415C4">
      <w:pPr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  <w:sectPr w:rsidR="002415C4">
          <w:type w:val="continuous"/>
          <w:pgSz w:w="11906" w:h="16838"/>
          <w:pgMar w:top="1134" w:right="737" w:bottom="1134" w:left="737" w:header="720" w:footer="1021" w:gutter="0"/>
          <w:cols w:space="708"/>
          <w:docGrid w:linePitch="360"/>
        </w:sectPr>
      </w:pPr>
    </w:p>
    <w:p w14:paraId="2C477F7D" w14:textId="77777777" w:rsidR="002415C4" w:rsidRDefault="002415C4">
      <w:pPr>
        <w:pStyle w:val="Tekstpodstawowy21"/>
        <w:ind w:left="-284"/>
        <w:rPr>
          <w:rFonts w:ascii="Calibri" w:hAnsi="Calibri" w:cs="Calibri"/>
          <w:b/>
          <w:bCs/>
          <w:i/>
          <w:color w:val="000000"/>
          <w:sz w:val="2"/>
          <w:szCs w:val="24"/>
          <w:lang w:eastAsia="pl-PL"/>
        </w:rPr>
      </w:pPr>
    </w:p>
    <w:p w14:paraId="4DF29901" w14:textId="77777777" w:rsidR="002415C4" w:rsidRDefault="00000000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u w:val="single"/>
        </w:rPr>
        <w:t>ZGŁOSZENIE NA SZKOLENIE:</w:t>
      </w:r>
    </w:p>
    <w:p w14:paraId="0F9E6890" w14:textId="77777777" w:rsidR="00204C23" w:rsidRDefault="00204C23" w:rsidP="00204C23">
      <w:pPr>
        <w:pStyle w:val="NormalnyWeb"/>
        <w:spacing w:before="0"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„</w:t>
      </w:r>
      <w:r w:rsidRPr="00204C23">
        <w:rPr>
          <w:rFonts w:ascii="Calibri" w:hAnsi="Calibri" w:cs="Calibri"/>
          <w:b/>
          <w:bCs/>
          <w:sz w:val="40"/>
          <w:szCs w:val="40"/>
        </w:rPr>
        <w:t>Zmiany w zamówieniach publicznych w 2026 roku w praktyce – przygotowanie postępowania i unikanie błędów na podstawie rzeczywistych przykładów.</w:t>
      </w:r>
      <w:r>
        <w:rPr>
          <w:rFonts w:ascii="Calibri" w:hAnsi="Calibri" w:cs="Calibri"/>
          <w:b/>
          <w:bCs/>
          <w:sz w:val="40"/>
          <w:szCs w:val="40"/>
        </w:rPr>
        <w:t>”</w:t>
      </w:r>
    </w:p>
    <w:p w14:paraId="527BFAB7" w14:textId="77777777" w:rsidR="002415C4" w:rsidRDefault="00000000">
      <w:pPr>
        <w:pStyle w:val="NormalnyWeb"/>
        <w:spacing w:before="0" w:after="0"/>
        <w:ind w:left="-454" w:right="-454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</w:p>
    <w:p w14:paraId="479FAA14" w14:textId="3A78404F" w:rsidR="002415C4" w:rsidRDefault="00C831DD">
      <w:pPr>
        <w:suppressAutoHyphens/>
        <w:ind w:left="-454" w:right="-454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27</w:t>
      </w:r>
      <w:r w:rsidR="000327C4">
        <w:rPr>
          <w:rFonts w:ascii="Calibri" w:hAnsi="Calibri" w:cs="Calibri"/>
          <w:b/>
          <w:sz w:val="28"/>
          <w:szCs w:val="28"/>
        </w:rPr>
        <w:t xml:space="preserve"> </w:t>
      </w:r>
      <w:r w:rsidR="00204C23">
        <w:rPr>
          <w:rFonts w:ascii="Calibri" w:hAnsi="Calibri" w:cs="Calibri"/>
          <w:b/>
          <w:sz w:val="28"/>
          <w:szCs w:val="28"/>
        </w:rPr>
        <w:t xml:space="preserve">maja </w:t>
      </w:r>
      <w:r w:rsidR="000327C4">
        <w:rPr>
          <w:rFonts w:ascii="Calibri" w:hAnsi="Calibri" w:cs="Calibri"/>
          <w:b/>
          <w:sz w:val="28"/>
          <w:szCs w:val="28"/>
        </w:rPr>
        <w:t xml:space="preserve">2026 roku, </w:t>
      </w:r>
      <w:r>
        <w:rPr>
          <w:rFonts w:ascii="Calibri" w:hAnsi="Calibri" w:cs="Calibri"/>
          <w:b/>
          <w:sz w:val="28"/>
          <w:szCs w:val="28"/>
        </w:rPr>
        <w:t>OLSZTYN</w:t>
      </w:r>
      <w:r w:rsidR="000327C4">
        <w:rPr>
          <w:rFonts w:ascii="Calibri" w:hAnsi="Calibri" w:cs="Calibri"/>
          <w:b/>
          <w:sz w:val="28"/>
          <w:szCs w:val="28"/>
        </w:rPr>
        <w:t>, Hote</w:t>
      </w:r>
      <w:r w:rsidR="00A0694F">
        <w:rPr>
          <w:rFonts w:ascii="Calibri" w:hAnsi="Calibri" w:cs="Calibri"/>
          <w:b/>
          <w:sz w:val="28"/>
          <w:szCs w:val="28"/>
        </w:rPr>
        <w:t xml:space="preserve">l </w:t>
      </w:r>
      <w:r>
        <w:rPr>
          <w:rFonts w:ascii="Calibri" w:hAnsi="Calibri" w:cs="Calibri"/>
          <w:b/>
          <w:sz w:val="28"/>
          <w:szCs w:val="28"/>
        </w:rPr>
        <w:t>Warmiński</w:t>
      </w:r>
      <w:r w:rsidR="000327C4">
        <w:rPr>
          <w:rFonts w:ascii="Calibri" w:hAnsi="Calibri" w:cs="Calibri"/>
          <w:b/>
          <w:sz w:val="28"/>
          <w:szCs w:val="28"/>
        </w:rPr>
        <w:t xml:space="preserve">, </w:t>
      </w:r>
      <w:r w:rsidR="007B796F">
        <w:rPr>
          <w:rFonts w:ascii="Calibri" w:hAnsi="Calibri" w:cs="Calibri"/>
          <w:b/>
          <w:sz w:val="28"/>
          <w:szCs w:val="28"/>
        </w:rPr>
        <w:t>ul</w:t>
      </w:r>
      <w:r w:rsidR="000327C4">
        <w:rPr>
          <w:rFonts w:ascii="Calibri" w:hAnsi="Calibri" w:cs="Calibri"/>
          <w:b/>
          <w:sz w:val="28"/>
          <w:szCs w:val="28"/>
        </w:rPr>
        <w:t>.</w:t>
      </w:r>
      <w:r w:rsidR="00204C23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Kołobrzeska 1</w:t>
      </w:r>
      <w:r w:rsidR="000327C4">
        <w:rPr>
          <w:rFonts w:ascii="Calibri" w:hAnsi="Calibri" w:cs="Calibri"/>
          <w:b/>
          <w:sz w:val="28"/>
          <w:szCs w:val="28"/>
        </w:rPr>
        <w:t>, godz. 9.30-15.30</w:t>
      </w:r>
    </w:p>
    <w:tbl>
      <w:tblPr>
        <w:tblW w:w="104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2415C4" w14:paraId="5A01E86B" w14:textId="77777777" w:rsidTr="000327C4">
        <w:trPr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8C6B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5D4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3181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F362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2415C4" w14:paraId="63BE8BAD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2757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FF9B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D6B1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2807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17C8DCC3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4DC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CCF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4695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78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7D326898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DBEB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7264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485F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452C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73F1FAC0" w14:textId="77777777" w:rsidTr="000327C4">
        <w:trPr>
          <w:cantSplit/>
          <w:jc w:val="center"/>
        </w:trPr>
        <w:tc>
          <w:tcPr>
            <w:tcW w:w="8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9797" w14:textId="77777777" w:rsidR="002415C4" w:rsidRDefault="00000000">
            <w:pPr>
              <w:pStyle w:val="Tekstpodstawowy"/>
              <w:spacing w:before="60" w:after="60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5CF" w14:textId="77777777" w:rsidR="002415C4" w:rsidRDefault="002415C4">
            <w:pPr>
              <w:pStyle w:val="Tekstpodstawowy"/>
              <w:snapToGrid w:val="0"/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B39A76C" w14:textId="77777777" w:rsidR="000327C4" w:rsidRPr="00EE3A30" w:rsidRDefault="000327C4" w:rsidP="000327C4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6DD8E3A7" w14:textId="77777777" w:rsidR="000327C4" w:rsidRPr="00EE3A30" w:rsidRDefault="000327C4" w:rsidP="000327C4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4A25C9A" w14:textId="77777777" w:rsidR="000327C4" w:rsidRPr="00EE3A30" w:rsidRDefault="000327C4" w:rsidP="000327C4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53C75F2E" w14:textId="5FE9C7C6" w:rsidR="000327C4" w:rsidRPr="00154682" w:rsidRDefault="006B0D06" w:rsidP="000327C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6FFFAE0E" w14:textId="77777777" w:rsidR="006B0D06" w:rsidRDefault="006B0D06" w:rsidP="000327C4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11589321" w14:textId="7778CA8E" w:rsidR="000327C4" w:rsidRPr="00EE3A30" w:rsidRDefault="000327C4" w:rsidP="000327C4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0E110D5E" w14:textId="77777777" w:rsidR="000327C4" w:rsidRPr="00EE3A30" w:rsidRDefault="000327C4" w:rsidP="000327C4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3F3A815A" w14:textId="28E44209" w:rsidR="000327C4" w:rsidRPr="00EE3A30" w:rsidRDefault="000327C4" w:rsidP="000327C4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 w:rsidR="006B0D06"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 w:rsidR="006B0D06">
        <w:rPr>
          <w:rFonts w:ascii="Calibri" w:hAnsi="Calibri" w:cs="Calibri"/>
          <w:sz w:val="21"/>
          <w:szCs w:val="21"/>
        </w:rPr>
        <w:t>...............</w:t>
      </w:r>
    </w:p>
    <w:p w14:paraId="2C0EC1FE" w14:textId="77777777" w:rsidR="006B0D06" w:rsidRDefault="000327C4" w:rsidP="006B0D0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0785536" w14:textId="26A1E65A" w:rsidR="006B0D06" w:rsidRPr="006B0D06" w:rsidRDefault="006B0D06" w:rsidP="006B0D0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6FE8345B" w14:textId="2BC49538" w:rsidR="000327C4" w:rsidRPr="00EE3A30" w:rsidRDefault="000327C4" w:rsidP="006B0D0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223B58A9" w14:textId="2F9D5645" w:rsidR="000327C4" w:rsidRPr="006B0D06" w:rsidRDefault="000327C4" w:rsidP="006B0D0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86CD196" wp14:editId="01B1714A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E9F2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73632FA2" w14:textId="6EBDA073" w:rsidR="0059694E" w:rsidRPr="000327C4" w:rsidRDefault="000327C4" w:rsidP="000327C4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59694E" w:rsidRPr="000327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21" w:bottom="1077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15AB" w14:textId="77777777" w:rsidR="006C3587" w:rsidRDefault="006C3587">
      <w:r>
        <w:separator/>
      </w:r>
    </w:p>
  </w:endnote>
  <w:endnote w:type="continuationSeparator" w:id="0">
    <w:p w14:paraId="13113199" w14:textId="77777777" w:rsidR="006C3587" w:rsidRDefault="006C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415C4" w:rsidRPr="00A0694F" w14:paraId="50D92777" w14:textId="77777777">
      <w:trPr>
        <w:cantSplit/>
      </w:trPr>
      <w:tc>
        <w:tcPr>
          <w:tcW w:w="3828" w:type="dxa"/>
          <w:tcBorders>
            <w:top w:val="single" w:sz="4" w:space="0" w:color="000000"/>
            <w:bottom w:val="single" w:sz="4" w:space="0" w:color="000000"/>
          </w:tcBorders>
        </w:tcPr>
        <w:p w14:paraId="6DC3A450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Centrum Doradztwa i Kształcenia „Nowe Przetargi”</w:t>
          </w:r>
        </w:p>
        <w:p w14:paraId="05838A13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Warszawa 00-019, ul. Złota 7/18</w:t>
          </w:r>
        </w:p>
        <w:p w14:paraId="2254BBDE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Rzeszów 35-504, ul. Ustrzycka 118B</w:t>
          </w:r>
        </w:p>
        <w:p w14:paraId="27B7F9A2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>infolinia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000000"/>
            <w:bottom w:val="single" w:sz="4" w:space="0" w:color="000000"/>
          </w:tcBorders>
        </w:tcPr>
        <w:p w14:paraId="57F0885A" w14:textId="77777777" w:rsidR="002415C4" w:rsidRDefault="00000000">
          <w:pPr>
            <w:pStyle w:val="Nagwek6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NIP: 688-112-85-12</w:t>
          </w:r>
        </w:p>
        <w:p w14:paraId="41ABCFFE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REGON: 370443239</w:t>
          </w:r>
        </w:p>
        <w:p w14:paraId="7757214E" w14:textId="77777777" w:rsidR="002415C4" w:rsidRDefault="00000000">
          <w:pPr>
            <w:tabs>
              <w:tab w:val="right" w:pos="3118"/>
            </w:tabs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Citibank Handlowy S.A.</w:t>
          </w:r>
          <w:r>
            <w:rPr>
              <w:rFonts w:ascii="Arial Narrow" w:hAnsi="Arial Narrow" w:cs="Arial Narrow"/>
              <w:b/>
              <w:sz w:val="16"/>
              <w:szCs w:val="16"/>
            </w:rPr>
            <w:tab/>
          </w:r>
        </w:p>
        <w:p w14:paraId="64A5ABF6" w14:textId="77777777" w:rsidR="002415C4" w:rsidRDefault="00000000"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</w:tcBorders>
        </w:tcPr>
        <w:p w14:paraId="42C2FBAC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internet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 http://www.noweprzetargi.pl</w:t>
          </w:r>
        </w:p>
        <w:p w14:paraId="4D3DC043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</w:t>
          </w:r>
        </w:p>
        <w:p w14:paraId="5505AED1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szkolenia@noweprzetargi.pl</w:t>
          </w:r>
        </w:p>
        <w:p w14:paraId="56107804" w14:textId="77777777" w:rsidR="002415C4" w:rsidRPr="005E06E4" w:rsidRDefault="00000000">
          <w:pPr>
            <w:rPr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415C4" w14:paraId="482E06AC" w14:textId="77777777">
      <w:trPr>
        <w:cantSplit/>
      </w:trPr>
      <w:tc>
        <w:tcPr>
          <w:tcW w:w="10632" w:type="dxa"/>
          <w:gridSpan w:val="3"/>
          <w:tcBorders>
            <w:top w:val="single" w:sz="4" w:space="0" w:color="000000"/>
            <w:bottom w:val="single" w:sz="4" w:space="0" w:color="000000"/>
          </w:tcBorders>
        </w:tcPr>
        <w:p w14:paraId="35CBDD4B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Rejestr Instytucji Szkoleniowych nr 2.18/00040/2007</w:t>
          </w:r>
        </w:p>
        <w:p w14:paraId="68F550A6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Wpis do ewidencji jednostek upoważnionych do organizowania i prowadzenia szkoleń  w służbie cywilnej prowadzonej przez Urząd Służby Cywilnej w Warszawie</w:t>
          </w:r>
        </w:p>
        <w:p w14:paraId="2623D84F" w14:textId="77777777" w:rsidR="002415C4" w:rsidRDefault="00000000">
          <w:pPr>
            <w:pStyle w:val="Nagwek5"/>
            <w:spacing w:before="0" w:after="0"/>
          </w:pPr>
          <w:r>
            <w:rPr>
              <w:sz w:val="16"/>
              <w:szCs w:val="16"/>
            </w:rPr>
            <w:t>ISO 9001 (PN-EN ISO 9001:2015)</w:t>
          </w:r>
        </w:p>
      </w:tc>
    </w:tr>
  </w:tbl>
  <w:p w14:paraId="28C2C243" w14:textId="77777777" w:rsidR="002415C4" w:rsidRDefault="002415C4">
    <w:pPr>
      <w:pStyle w:val="Stopka"/>
      <w:rPr>
        <w:sz w:val="2"/>
        <w:szCs w:val="2"/>
      </w:rPr>
    </w:pPr>
  </w:p>
  <w:p w14:paraId="52A34CA5" w14:textId="77777777" w:rsidR="002415C4" w:rsidRDefault="002415C4">
    <w:pPr>
      <w:pStyle w:val="Stopka"/>
      <w:rPr>
        <w:sz w:val="2"/>
        <w:szCs w:val="2"/>
      </w:rPr>
    </w:pPr>
  </w:p>
  <w:p w14:paraId="5DC03AA5" w14:textId="77777777" w:rsidR="002415C4" w:rsidRDefault="002415C4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415C4" w:rsidRPr="00A0694F" w14:paraId="3B660391" w14:textId="77777777">
      <w:trPr>
        <w:cantSplit/>
      </w:trPr>
      <w:tc>
        <w:tcPr>
          <w:tcW w:w="3828" w:type="dxa"/>
          <w:tcBorders>
            <w:top w:val="single" w:sz="4" w:space="0" w:color="000000"/>
            <w:bottom w:val="single" w:sz="4" w:space="0" w:color="000000"/>
          </w:tcBorders>
        </w:tcPr>
        <w:p w14:paraId="591AB30D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Centrum Doradztwa i Kształcenia „Nowe Przetargi”</w:t>
          </w:r>
        </w:p>
        <w:p w14:paraId="7053D7E8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Warszawa 00-019, ul. Złota 7/18</w:t>
          </w:r>
        </w:p>
        <w:p w14:paraId="5B8EC57B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Rzeszów 35-504, ul. Ustrzycka 118B</w:t>
          </w:r>
        </w:p>
        <w:p w14:paraId="0F3AF699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>infolinia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000000"/>
            <w:bottom w:val="single" w:sz="4" w:space="0" w:color="000000"/>
          </w:tcBorders>
        </w:tcPr>
        <w:p w14:paraId="6413092C" w14:textId="77777777" w:rsidR="002415C4" w:rsidRDefault="00000000">
          <w:pPr>
            <w:pStyle w:val="Nagwek6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NIP: 688-112-85-12</w:t>
          </w:r>
        </w:p>
        <w:p w14:paraId="4953C2A9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REGON: 370443239</w:t>
          </w:r>
        </w:p>
        <w:p w14:paraId="2D5FB9E4" w14:textId="77777777" w:rsidR="002415C4" w:rsidRDefault="00000000">
          <w:pPr>
            <w:tabs>
              <w:tab w:val="right" w:pos="3118"/>
            </w:tabs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Citibank Handlowy S.A.</w:t>
          </w:r>
          <w:r>
            <w:rPr>
              <w:rFonts w:ascii="Arial Narrow" w:hAnsi="Arial Narrow" w:cs="Arial Narrow"/>
              <w:b/>
              <w:sz w:val="16"/>
              <w:szCs w:val="16"/>
            </w:rPr>
            <w:tab/>
          </w:r>
        </w:p>
        <w:p w14:paraId="4C6B3A44" w14:textId="77777777" w:rsidR="002415C4" w:rsidRDefault="00000000"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</w:tcBorders>
        </w:tcPr>
        <w:p w14:paraId="48A725C2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internet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 http://www.noweprzetargi.pl</w:t>
          </w:r>
        </w:p>
        <w:p w14:paraId="4F606243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</w:t>
          </w:r>
        </w:p>
        <w:p w14:paraId="3FA67590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szkolenia@noweprzetargi.pl</w:t>
          </w:r>
        </w:p>
        <w:p w14:paraId="6FF8EB41" w14:textId="77777777" w:rsidR="002415C4" w:rsidRPr="005E06E4" w:rsidRDefault="00000000">
          <w:pPr>
            <w:rPr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415C4" w14:paraId="1BC70962" w14:textId="77777777">
      <w:trPr>
        <w:cantSplit/>
      </w:trPr>
      <w:tc>
        <w:tcPr>
          <w:tcW w:w="10632" w:type="dxa"/>
          <w:gridSpan w:val="3"/>
          <w:tcBorders>
            <w:top w:val="single" w:sz="4" w:space="0" w:color="000000"/>
            <w:bottom w:val="single" w:sz="4" w:space="0" w:color="000000"/>
          </w:tcBorders>
        </w:tcPr>
        <w:p w14:paraId="53A39B54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Rejestr Instytucji Szkoleniowych nr 2.18/00040/2007</w:t>
          </w:r>
        </w:p>
        <w:p w14:paraId="468AD48F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Wpis do ewidencji jednostek upoważnionych do organizowania i prowadzenia szkoleń  w służbie cywilnej prowadzonej przez Urząd Służby Cywilnej w Warszawie</w:t>
          </w:r>
        </w:p>
        <w:p w14:paraId="57095321" w14:textId="77777777" w:rsidR="002415C4" w:rsidRDefault="00000000">
          <w:pPr>
            <w:pStyle w:val="Nagwek5"/>
            <w:spacing w:before="0" w:after="0"/>
          </w:pPr>
          <w:r>
            <w:rPr>
              <w:sz w:val="16"/>
              <w:szCs w:val="16"/>
            </w:rPr>
            <w:t>ISO 9001 (PN-EN ISO 9001:2015)</w:t>
          </w:r>
        </w:p>
      </w:tc>
    </w:tr>
  </w:tbl>
  <w:p w14:paraId="3DBFB9C3" w14:textId="77777777" w:rsidR="002415C4" w:rsidRDefault="002415C4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F16A" w14:textId="77777777" w:rsidR="002415C4" w:rsidRDefault="002415C4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8CD1" w14:textId="77777777" w:rsidR="002415C4" w:rsidRDefault="002415C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ED6A" w14:textId="77777777" w:rsidR="002415C4" w:rsidRDefault="002415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6C02" w14:textId="77777777" w:rsidR="006C3587" w:rsidRDefault="006C3587">
      <w:r>
        <w:separator/>
      </w:r>
    </w:p>
  </w:footnote>
  <w:footnote w:type="continuationSeparator" w:id="0">
    <w:p w14:paraId="653AB76B" w14:textId="77777777" w:rsidR="006C3587" w:rsidRDefault="006C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A858" w14:textId="234A1C12" w:rsidR="002415C4" w:rsidRDefault="00D05A62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43952B48" wp14:editId="5CBEEAFF">
          <wp:extent cx="6642100" cy="1352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5A3097D" w14:textId="77777777" w:rsidR="002415C4" w:rsidRDefault="002415C4">
    <w:pPr>
      <w:pStyle w:val="Nagwek10"/>
      <w:rPr>
        <w:sz w:val="2"/>
        <w:szCs w:val="2"/>
      </w:rPr>
    </w:pPr>
  </w:p>
  <w:p w14:paraId="3AAFF23A" w14:textId="77777777" w:rsidR="002415C4" w:rsidRDefault="002415C4">
    <w:pPr>
      <w:pStyle w:val="Nagwek1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8623" w14:textId="2479ECE7" w:rsidR="002415C4" w:rsidRDefault="00D05A62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4CAA3FEC" wp14:editId="0C333B63">
          <wp:extent cx="6426200" cy="13525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042BFBC" w14:textId="77777777" w:rsidR="002415C4" w:rsidRDefault="002415C4">
    <w:pPr>
      <w:pStyle w:val="Nagwek1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26DB" w14:textId="77777777" w:rsidR="002415C4" w:rsidRDefault="002415C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7433" w14:textId="472B5FE9" w:rsidR="002415C4" w:rsidRPr="005E06E4" w:rsidRDefault="00D05A62" w:rsidP="005E06E4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28D4AC18" wp14:editId="6FC3D766">
          <wp:extent cx="6642100" cy="13525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2075" w14:textId="77777777" w:rsidR="002415C4" w:rsidRDefault="002415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 w16cid:durableId="879317242">
    <w:abstractNumId w:val="0"/>
  </w:num>
  <w:num w:numId="2" w16cid:durableId="1353190444">
    <w:abstractNumId w:val="1"/>
  </w:num>
  <w:num w:numId="3" w16cid:durableId="669453831">
    <w:abstractNumId w:val="2"/>
  </w:num>
  <w:num w:numId="4" w16cid:durableId="1296830270">
    <w:abstractNumId w:val="3"/>
  </w:num>
  <w:num w:numId="5" w16cid:durableId="1599026933">
    <w:abstractNumId w:val="4"/>
  </w:num>
  <w:num w:numId="6" w16cid:durableId="30731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DF"/>
    <w:rsid w:val="000327C4"/>
    <w:rsid w:val="001573ED"/>
    <w:rsid w:val="00160DBD"/>
    <w:rsid w:val="001A5E68"/>
    <w:rsid w:val="00204C23"/>
    <w:rsid w:val="002415C4"/>
    <w:rsid w:val="00322590"/>
    <w:rsid w:val="003265DD"/>
    <w:rsid w:val="0059694E"/>
    <w:rsid w:val="005E06E4"/>
    <w:rsid w:val="006B0D06"/>
    <w:rsid w:val="006C3587"/>
    <w:rsid w:val="007B796F"/>
    <w:rsid w:val="00A0694F"/>
    <w:rsid w:val="00A80976"/>
    <w:rsid w:val="00C424DF"/>
    <w:rsid w:val="00C831DD"/>
    <w:rsid w:val="00CB376F"/>
    <w:rsid w:val="00D05A62"/>
    <w:rsid w:val="00F3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F37493"/>
  <w15:chartTrackingRefBased/>
  <w15:docId w15:val="{DC279C8E-9A7A-4CF7-839B-4D857C53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 w:cs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 w:firstLine="0"/>
      <w:jc w:val="both"/>
      <w:outlineLvl w:val="1"/>
    </w:pPr>
    <w:rPr>
      <w:rFonts w:ascii="Arial Narrow" w:hAnsi="Arial Narrow" w:cs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 w:cs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 w:cs="Lucida Console"/>
      <w:b/>
      <w:i/>
      <w:sz w:val="54"/>
    </w:rPr>
  </w:style>
  <w:style w:type="paragraph" w:styleId="Nagwek5">
    <w:name w:val="heading 5"/>
    <w:basedOn w:val="Normalny"/>
    <w:next w:val="Normalny"/>
    <w:qFormat/>
    <w:pPr>
      <w:keepNext/>
      <w:spacing w:before="40" w:after="40"/>
      <w:jc w:val="center"/>
      <w:outlineLvl w:val="4"/>
    </w:pPr>
    <w:rPr>
      <w:rFonts w:ascii="Arial Narrow" w:hAnsi="Arial Narrow" w:cs="Arial Narrow"/>
      <w:b/>
      <w:sz w:val="18"/>
    </w:rPr>
  </w:style>
  <w:style w:type="paragraph" w:styleId="Nagwek6">
    <w:name w:val="heading 6"/>
    <w:basedOn w:val="Normalny"/>
    <w:next w:val="Normalny"/>
    <w:qFormat/>
    <w:pPr>
      <w:keepNext/>
      <w:spacing w:before="120" w:after="40"/>
      <w:outlineLvl w:val="5"/>
    </w:pPr>
    <w:rPr>
      <w:rFonts w:ascii="Arial Narrow" w:hAnsi="Arial Narrow" w:cs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2"/>
      <w:szCs w:val="22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hint="default"/>
      <w:i w:val="0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0">
    <w:name w:val="WW8Num51z0"/>
    <w:rPr>
      <w:rFonts w:ascii="Symbol" w:hAnsi="Symbol" w:cs="Symbol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 w:cs="Wingdings"/>
      <w:b/>
      <w:sz w:val="22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37z1">
    <w:name w:val="WW8Num37z1"/>
    <w:rPr>
      <w:rFonts w:ascii="Wingdings" w:hAnsi="Wingdings" w:cs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 w:cs="Wingdings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Arial Narrow" w:hAnsi="Arial Narrow" w:cs="Arial Narrow"/>
      <w:sz w:val="22"/>
    </w:rPr>
  </w:style>
  <w:style w:type="character" w:customStyle="1" w:styleId="NagwekZnak">
    <w:name w:val="Nagłówek Znak"/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5Znak">
    <w:name w:val="Nagłówek 5 Znak"/>
    <w:rPr>
      <w:rFonts w:ascii="Arial Narrow" w:hAnsi="Arial Narrow" w:cs="Arial Narrow"/>
      <w:b/>
      <w:sz w:val="18"/>
    </w:rPr>
  </w:style>
  <w:style w:type="character" w:customStyle="1" w:styleId="Nagwek6Znak">
    <w:name w:val="Nagłówek 6 Znak"/>
    <w:rPr>
      <w:rFonts w:ascii="Arial Narrow" w:hAnsi="Arial Narrow" w:cs="Arial Narrow"/>
      <w:b/>
      <w:sz w:val="18"/>
    </w:rPr>
  </w:style>
  <w:style w:type="character" w:customStyle="1" w:styleId="StopkaZnak">
    <w:name w:val="Stopka Znak"/>
  </w:style>
  <w:style w:type="character" w:customStyle="1" w:styleId="Tekstpodstawowywcity3Znak">
    <w:name w:val="Tekst podstawowy wcięty 3 Znak"/>
    <w:rPr>
      <w:sz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rFonts w:ascii="Arial Narrow" w:hAnsi="Arial Narrow" w:cs="Arial Narrow"/>
      <w:sz w:val="22"/>
    </w:rPr>
  </w:style>
  <w:style w:type="paragraph" w:styleId="Lista">
    <w:name w:val="List"/>
    <w:basedOn w:val="Tekstpodstawowy"/>
    <w:rPr>
      <w:rFonts w:cs="Lucida Sans Unicode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214"/>
      <w:jc w:val="both"/>
    </w:pPr>
    <w:rPr>
      <w:rFonts w:ascii="Arial" w:hAnsi="Arial" w:cs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 w:cs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</w:style>
  <w:style w:type="paragraph" w:customStyle="1" w:styleId="Tekstpodstawowy31">
    <w:name w:val="Tekst podstawowy 31"/>
    <w:basedOn w:val="Normalny"/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pPr>
      <w:suppressAutoHyphens/>
      <w:jc w:val="both"/>
    </w:pPr>
    <w:rPr>
      <w:rFonts w:ascii="Arial" w:hAnsi="Arial" w:cs="Arial"/>
      <w:sz w:val="1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1260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</vt:lpstr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2022-11-09T07:37:00Z</cp:lastPrinted>
  <dcterms:created xsi:type="dcterms:W3CDTF">2026-04-02T08:47:00Z</dcterms:created>
  <dcterms:modified xsi:type="dcterms:W3CDTF">2026-04-02T08:47:00Z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