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D1782A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1BFBA9EB" w14:textId="4778A9BE" w:rsidR="00F20C89" w:rsidRPr="00365328" w:rsidRDefault="00F20C89" w:rsidP="00365328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36"/>
          <w:szCs w:val="36"/>
        </w:rPr>
      </w:pPr>
      <w:bookmarkStart w:id="0" w:name="_Hlk228864649"/>
      <w:r w:rsidRPr="00365328">
        <w:rPr>
          <w:rFonts w:ascii="Calibri" w:hAnsi="Calibri" w:cs="Calibri"/>
          <w:b/>
          <w:sz w:val="36"/>
          <w:szCs w:val="36"/>
        </w:rPr>
        <w:t>„</w:t>
      </w:r>
      <w:r w:rsidR="00365328" w:rsidRPr="00365328">
        <w:rPr>
          <w:rFonts w:ascii="Calibri" w:hAnsi="Calibri" w:cs="Calibri"/>
          <w:b/>
          <w:sz w:val="36"/>
          <w:szCs w:val="36"/>
        </w:rPr>
        <w:t>Udzielanie zamówień publicznych w II połowie 2026 roku</w:t>
      </w:r>
      <w:r w:rsidR="00365328">
        <w:rPr>
          <w:rFonts w:ascii="Calibri" w:hAnsi="Calibri" w:cs="Calibri"/>
          <w:b/>
          <w:sz w:val="36"/>
          <w:szCs w:val="36"/>
        </w:rPr>
        <w:t xml:space="preserve"> </w:t>
      </w:r>
      <w:r w:rsidR="00365328" w:rsidRPr="00365328">
        <w:rPr>
          <w:rFonts w:ascii="Calibri" w:hAnsi="Calibri" w:cs="Calibri"/>
          <w:b/>
          <w:sz w:val="36"/>
          <w:szCs w:val="36"/>
        </w:rPr>
        <w:t>– aktualne przepisy, problemy praktyczne i bezpieczne prowadzenie postępowań</w:t>
      </w:r>
      <w:r w:rsidR="00D25ECF" w:rsidRPr="00365328">
        <w:rPr>
          <w:rFonts w:ascii="Calibri" w:hAnsi="Calibri" w:cs="Calibri"/>
          <w:b/>
          <w:sz w:val="36"/>
          <w:szCs w:val="36"/>
        </w:rPr>
        <w:t>.</w:t>
      </w:r>
      <w:r w:rsidRPr="00365328">
        <w:rPr>
          <w:rFonts w:ascii="Calibri" w:hAnsi="Calibri" w:cs="Calibri"/>
          <w:b/>
          <w:sz w:val="36"/>
          <w:szCs w:val="36"/>
        </w:rPr>
        <w:t>”</w:t>
      </w:r>
    </w:p>
    <w:bookmarkEnd w:id="0"/>
    <w:p w14:paraId="2B3FB8AF" w14:textId="7CA3F12E" w:rsidR="00461898" w:rsidRDefault="00461898" w:rsidP="00365328">
      <w:pPr>
        <w:pStyle w:val="Tekstpodstawowywcity3"/>
        <w:spacing w:after="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365328">
        <w:rPr>
          <w:rFonts w:ascii="Calibri" w:hAnsi="Calibri" w:cs="Calibri"/>
          <w:b/>
          <w:sz w:val="36"/>
        </w:rPr>
        <w:t>KROSNO</w:t>
      </w:r>
      <w:r>
        <w:rPr>
          <w:rFonts w:ascii="Calibri" w:hAnsi="Calibri" w:cs="Calibri"/>
          <w:b/>
          <w:sz w:val="36"/>
        </w:rPr>
        <w:t>,</w:t>
      </w:r>
      <w:r w:rsidR="00000A97">
        <w:rPr>
          <w:rFonts w:ascii="Calibri" w:hAnsi="Calibri" w:cs="Calibri"/>
          <w:b/>
          <w:sz w:val="36"/>
        </w:rPr>
        <w:t xml:space="preserve"> </w:t>
      </w:r>
      <w:r w:rsidR="00365328">
        <w:rPr>
          <w:rFonts w:ascii="Calibri" w:hAnsi="Calibri" w:cs="Calibri"/>
          <w:b/>
          <w:sz w:val="36"/>
        </w:rPr>
        <w:t>21</w:t>
      </w:r>
      <w:r>
        <w:rPr>
          <w:rFonts w:ascii="Calibri" w:hAnsi="Calibri" w:cs="Calibri"/>
          <w:b/>
          <w:sz w:val="36"/>
        </w:rPr>
        <w:t xml:space="preserve"> </w:t>
      </w:r>
      <w:r w:rsidR="00000A97">
        <w:rPr>
          <w:rFonts w:ascii="Calibri" w:hAnsi="Calibri" w:cs="Calibri"/>
          <w:b/>
          <w:sz w:val="36"/>
        </w:rPr>
        <w:t xml:space="preserve">MAJA </w:t>
      </w:r>
      <w:r>
        <w:rPr>
          <w:rFonts w:ascii="Calibri" w:hAnsi="Calibri" w:cs="Calibri"/>
          <w:b/>
          <w:sz w:val="36"/>
          <w:szCs w:val="36"/>
        </w:rPr>
        <w:t>2026</w:t>
      </w:r>
    </w:p>
    <w:p w14:paraId="7554967D" w14:textId="7DD3A53C" w:rsidR="001C1A44" w:rsidRPr="00365328" w:rsidRDefault="00DC5735" w:rsidP="0036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i/>
          <w:sz w:val="18"/>
          <w:szCs w:val="18"/>
        </w:rPr>
      </w:pPr>
      <w:r w:rsidRPr="00365328">
        <w:rPr>
          <w:rFonts w:ascii="Calibri" w:hAnsi="Calibri" w:cs="Calibri"/>
          <w:b/>
          <w:i/>
          <w:sz w:val="18"/>
          <w:szCs w:val="18"/>
        </w:rPr>
        <w:t>*</w:t>
      </w:r>
      <w:r w:rsidR="007968EB" w:rsidRPr="00365328">
        <w:rPr>
          <w:rFonts w:ascii="Calibri" w:hAnsi="Calibri" w:cs="Calibri"/>
          <w:b/>
          <w:i/>
          <w:sz w:val="18"/>
          <w:szCs w:val="18"/>
        </w:rPr>
        <w:t xml:space="preserve">mec. Łukasz Bochenek </w:t>
      </w:r>
      <w:r w:rsidR="007968EB" w:rsidRPr="00365328">
        <w:rPr>
          <w:rFonts w:ascii="Calibri" w:hAnsi="Calibri" w:cs="Calibri"/>
          <w:bCs/>
          <w:i/>
          <w:sz w:val="18"/>
          <w:szCs w:val="18"/>
        </w:rPr>
        <w:t>– adwokat, partner w kancelarii Bochenek, Sosnowska-Łozińska Adwokaci i Radcy Prawni Spółka Partnerska. Doradca w pracach nadzwyczajnej komisji do rozpatrzenia rządowego projektu ustawy o zmianie ustawy – Prawo zamówień publicznych oraz niektórych innych ustaw. Posiada wieloletnie doświadczenie w zakresie zamówień publicznych, uczestnicząc w setkach postępowań o udzielenie zamówienia publicznego. Obecnie zajmuje się obsługą prawną instytucji publicznych oraz podmiotów gospodarczych, przede wszystkim w obszarze zamówień publicznych oraz realizacji projektów dofinansowanych ze środków UE. Występuje jako pełnomocnik w postępowaniach odwoławczych przed Krajową Izbą Odwoławczą oraz Sądem Okręgowym w Warszawie. Przygotowuje opinie prawne i ekspertyzy, a także prowadzi postępowania w zakresie zamówień publicznych. Jest również doświadczonym trenerem zamówień publicznych, cenionym za ogromną wiedzę połączoną z</w:t>
      </w:r>
      <w:r w:rsidR="00365328">
        <w:rPr>
          <w:rFonts w:ascii="Calibri" w:hAnsi="Calibri" w:cs="Calibri"/>
          <w:bCs/>
          <w:i/>
          <w:sz w:val="18"/>
          <w:szCs w:val="18"/>
        </w:rPr>
        <w:t> </w:t>
      </w:r>
      <w:r w:rsidR="007968EB" w:rsidRPr="00365328">
        <w:rPr>
          <w:rFonts w:ascii="Calibri" w:hAnsi="Calibri" w:cs="Calibri"/>
          <w:bCs/>
          <w:i/>
          <w:sz w:val="18"/>
          <w:szCs w:val="18"/>
        </w:rPr>
        <w:t>praktycznym doświadczeniem.</w:t>
      </w:r>
    </w:p>
    <w:p w14:paraId="491E412E" w14:textId="77777777" w:rsidR="001C1A44" w:rsidRPr="00EF19BE" w:rsidRDefault="001C1A44" w:rsidP="00365328">
      <w:pPr>
        <w:suppressAutoHyphens/>
        <w:ind w:left="502"/>
        <w:jc w:val="both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28B760A6" w14:textId="77777777" w:rsidR="00EF19BE" w:rsidRPr="00EF19BE" w:rsidRDefault="00EF19BE" w:rsidP="00365328">
      <w:pPr>
        <w:suppressAutoHyphens/>
        <w:ind w:left="499"/>
        <w:jc w:val="both"/>
        <w:rPr>
          <w:rFonts w:ascii="Calibri Light" w:hAnsi="Calibri Light" w:cs="Calibri Light"/>
          <w:b/>
          <w:bCs/>
          <w:color w:val="000000"/>
          <w:sz w:val="2"/>
          <w:szCs w:val="2"/>
        </w:rPr>
      </w:pPr>
    </w:p>
    <w:p w14:paraId="7DE73D1A" w14:textId="77777777" w:rsidR="00DC5735" w:rsidRPr="00D25ECF" w:rsidRDefault="00DC5735" w:rsidP="00365328">
      <w:pPr>
        <w:numPr>
          <w:ilvl w:val="0"/>
          <w:numId w:val="31"/>
        </w:numPr>
        <w:suppressAutoHyphens/>
        <w:jc w:val="both"/>
        <w:rPr>
          <w:rFonts w:ascii="Calibri" w:hAnsi="Calibri" w:cs="Calibri"/>
          <w:b/>
          <w:bCs/>
          <w:color w:val="000000"/>
          <w:sz w:val="22"/>
          <w:szCs w:val="22"/>
        </w:rPr>
        <w:sectPr w:rsidR="00DC5735" w:rsidRPr="00D25ECF" w:rsidSect="00BB772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2013DEF" w14:textId="54C6D28F" w:rsidR="00000A97" w:rsidRPr="00365328" w:rsidRDefault="00000A97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bookmarkStart w:id="1" w:name="_Hlk228864662"/>
      <w:r w:rsidRPr="00365328">
        <w:rPr>
          <w:rFonts w:ascii="Calibri" w:hAnsi="Calibri" w:cs="Calibri"/>
          <w:b/>
          <w:bCs/>
          <w:sz w:val="19"/>
          <w:szCs w:val="19"/>
        </w:rPr>
        <w:t>Wprowadzenie</w:t>
      </w:r>
      <w:r w:rsidR="00365328">
        <w:rPr>
          <w:rFonts w:ascii="Calibri" w:hAnsi="Calibri" w:cs="Calibri"/>
          <w:b/>
          <w:bCs/>
          <w:sz w:val="19"/>
          <w:szCs w:val="19"/>
        </w:rPr>
        <w:t>:</w:t>
      </w:r>
    </w:p>
    <w:p w14:paraId="23BA7C05" w14:textId="27F2799C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Kompleksowe omówienie zmian w zamówieniach publicznych w latach 2025–2026 – co się zmieniło, od kiedy obowiązuje i jak stosować nowe przepisy w praktyce.</w:t>
      </w:r>
    </w:p>
    <w:p w14:paraId="443486C9" w14:textId="7DAD1C81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Wpływ zmian na codzienną pracę zamawiających – gdzie pojawiają się największe ryzyka, w tym w projektach współfinansowanych ze środków UE i KPO.</w:t>
      </w:r>
    </w:p>
    <w:p w14:paraId="2E23A4FD" w14:textId="1DEF9E5C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Porównanie postępowań poniżej i powyżej progów unijnych po zmianach.</w:t>
      </w:r>
    </w:p>
    <w:p w14:paraId="7B4D405A" w14:textId="77777777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Jak zmiany w procedurach, zasadach i praktyce wpływają na sposób prowadzenia postępowań.</w:t>
      </w:r>
    </w:p>
    <w:p w14:paraId="0C82C9F5" w14:textId="6A88A185" w:rsidR="00365328" w:rsidRPr="00365328" w:rsidRDefault="00365328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r w:rsidRPr="00365328">
        <w:rPr>
          <w:rFonts w:ascii="Calibri" w:hAnsi="Calibri" w:cs="Calibri"/>
          <w:b/>
          <w:bCs/>
          <w:sz w:val="19"/>
          <w:szCs w:val="19"/>
        </w:rPr>
        <w:t>Szacowanie wartości zamówienia</w:t>
      </w:r>
      <w:r>
        <w:rPr>
          <w:rFonts w:ascii="Calibri" w:hAnsi="Calibri" w:cs="Calibri"/>
          <w:b/>
          <w:bCs/>
          <w:sz w:val="19"/>
          <w:szCs w:val="19"/>
        </w:rPr>
        <w:t>:</w:t>
      </w:r>
    </w:p>
    <w:p w14:paraId="6B3FEA6B" w14:textId="05E5987E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 xml:space="preserve">Zasady szacowania wartości </w:t>
      </w:r>
      <w:r w:rsidRPr="00365328">
        <w:rPr>
          <w:rFonts w:ascii="Calibri" w:hAnsi="Calibri" w:cs="Calibri"/>
          <w:sz w:val="19"/>
          <w:szCs w:val="19"/>
        </w:rPr>
        <w:t xml:space="preserve">zamówienia. </w:t>
      </w:r>
      <w:r w:rsidRPr="00365328">
        <w:rPr>
          <w:rFonts w:ascii="Calibri" w:hAnsi="Calibri" w:cs="Calibri"/>
          <w:sz w:val="19"/>
          <w:szCs w:val="19"/>
        </w:rPr>
        <w:t>Jak prawidłowo określić wartość zamówienia z uwzględnieniem wzrostu cen i zmienności rynku.</w:t>
      </w:r>
    </w:p>
    <w:p w14:paraId="5A634350" w14:textId="37EB52A0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Podwyższenie progu stosowania ustawy do 170 000 zł – skutki praktyczne: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>większa liczba zamówień poza ustawą,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>konieczność aktualizacji regulaminów i planów zamówień.</w:t>
      </w:r>
    </w:p>
    <w:p w14:paraId="2D1A3625" w14:textId="70585DF3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Ryzyka: błędna kwalifikacja zamówienia, niedozwolone dzielenie zamówień, brak właściwej kontroli wydatków.</w:t>
      </w:r>
    </w:p>
    <w:p w14:paraId="619BFA5D" w14:textId="2357EFC8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Wytyczne i praktyka kontroli w zakresie ustalania wartości zamówienia.</w:t>
      </w:r>
    </w:p>
    <w:p w14:paraId="63425BDB" w14:textId="77777777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Orzecznictwo dotyczące szacowania zamówienia – skutki dla zamawiających.</w:t>
      </w:r>
    </w:p>
    <w:p w14:paraId="188DD1D9" w14:textId="5DAD19E2" w:rsidR="00365328" w:rsidRPr="00365328" w:rsidRDefault="00365328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r w:rsidRPr="00365328">
        <w:rPr>
          <w:rFonts w:ascii="Calibri" w:hAnsi="Calibri" w:cs="Calibri"/>
          <w:b/>
          <w:bCs/>
          <w:sz w:val="19"/>
          <w:szCs w:val="19"/>
        </w:rPr>
        <w:t>Opis przedmiotu zamówienia</w:t>
      </w:r>
      <w:r>
        <w:rPr>
          <w:rFonts w:ascii="Calibri" w:hAnsi="Calibri" w:cs="Calibri"/>
          <w:b/>
          <w:bCs/>
          <w:sz w:val="19"/>
          <w:szCs w:val="19"/>
        </w:rPr>
        <w:t>:</w:t>
      </w:r>
    </w:p>
    <w:p w14:paraId="1B8D2D16" w14:textId="2BF18FBF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Jak tworzyć precyzyjne opisy przedmiotu zamówienia, aby uniknąć błędów i zapewnić konkurencję.</w:t>
      </w:r>
    </w:p>
    <w:p w14:paraId="12077684" w14:textId="57FCBA3E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Opis przedmiotu zamówienia a szacowanie wartości – najczęstsze nieprawidłowości.</w:t>
      </w:r>
    </w:p>
    <w:p w14:paraId="39DD2BB6" w14:textId="73B3ECC5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Specyfikacja warunków zamówienia – aktualne wymagania, w tym: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>zapisy dotyczące wykonawców z państw trzecich,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 xml:space="preserve">wymagania w zakresie </w:t>
      </w:r>
      <w:proofErr w:type="spellStart"/>
      <w:r w:rsidRPr="00365328">
        <w:rPr>
          <w:rFonts w:ascii="Calibri" w:hAnsi="Calibri" w:cs="Calibri"/>
          <w:sz w:val="19"/>
          <w:szCs w:val="19"/>
        </w:rPr>
        <w:t>cyberbezpieczeństwa</w:t>
      </w:r>
      <w:proofErr w:type="spellEnd"/>
      <w:r w:rsidRPr="00365328">
        <w:rPr>
          <w:rFonts w:ascii="Calibri" w:hAnsi="Calibri" w:cs="Calibri"/>
          <w:sz w:val="19"/>
          <w:szCs w:val="19"/>
        </w:rPr>
        <w:t xml:space="preserve">, </w:t>
      </w:r>
      <w:r w:rsidRPr="00365328">
        <w:rPr>
          <w:rFonts w:ascii="Calibri" w:hAnsi="Calibri" w:cs="Calibri"/>
          <w:sz w:val="19"/>
          <w:szCs w:val="19"/>
        </w:rPr>
        <w:t>elementy związane z certyfikacją wykonawców.</w:t>
      </w:r>
    </w:p>
    <w:p w14:paraId="74E2A973" w14:textId="2F1D9C9F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Powiązanie opisu z kryteriami oceny ofert.</w:t>
      </w:r>
    </w:p>
    <w:p w14:paraId="78510660" w14:textId="455BBAB7" w:rsidR="00270701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Przykłady z orzecznictwa – aktualne interpretacje i ryzyka.</w:t>
      </w:r>
    </w:p>
    <w:p w14:paraId="54ED20E2" w14:textId="3B76F54B" w:rsidR="00365328" w:rsidRPr="00365328" w:rsidRDefault="00365328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r w:rsidRPr="00365328">
        <w:rPr>
          <w:rFonts w:ascii="Calibri" w:hAnsi="Calibri" w:cs="Calibri"/>
          <w:b/>
          <w:bCs/>
          <w:sz w:val="19"/>
          <w:szCs w:val="19"/>
        </w:rPr>
        <w:t>Kwestie od lat budzące wątpliwości w zamówieniach publicznych i ich aktualne interpretacje</w:t>
      </w:r>
      <w:r>
        <w:rPr>
          <w:rFonts w:ascii="Calibri" w:hAnsi="Calibri" w:cs="Calibri"/>
          <w:b/>
          <w:bCs/>
          <w:sz w:val="19"/>
          <w:szCs w:val="19"/>
        </w:rPr>
        <w:t>:</w:t>
      </w:r>
    </w:p>
    <w:p w14:paraId="2C536BAE" w14:textId="493FD2B0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Wadium: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terminowość wniesienia,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dopuszczalne formy,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konsekwencje błędów.</w:t>
      </w:r>
    </w:p>
    <w:p w14:paraId="52E7B223" w14:textId="35F60799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Tajemnica przedsiębiorstwa: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zakres dopuszczalnego zastrzeżenia,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obowiązki zamawiającego przy ocenie,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skutki nieprawidłowych decyzji.</w:t>
      </w:r>
    </w:p>
    <w:p w14:paraId="38DC0A41" w14:textId="3A8E545F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Udostępnianie dokumentów przetargowych:</w:t>
      </w:r>
      <w:r w:rsidRPr="00365328">
        <w:rPr>
          <w:rFonts w:ascii="Calibri" w:hAnsi="Calibri" w:cs="Calibri"/>
          <w:b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zasada jawności a ochrona danych,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rozwiązywanie sporów w świetle orzecznictwa.</w:t>
      </w:r>
    </w:p>
    <w:p w14:paraId="1098C200" w14:textId="0147878C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Kryteria oceny ofert: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udział ceny w ocenie ofert,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proporcje między kryteriami jakościowymi i cenowymi,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najczęstsze błędy, szczególnie w projektach UE.</w:t>
      </w:r>
    </w:p>
    <w:p w14:paraId="03CA0C26" w14:textId="3027C0D4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Warunki udziału w postępowaniu: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jak je prawidłowo kształtować (proporcjonalność),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najczęstsze błędy i ich skutki.</w:t>
      </w:r>
    </w:p>
    <w:p w14:paraId="6F44197D" w14:textId="72D5AF20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Fakultatywne przesłanki wykluczenia</w:t>
      </w:r>
      <w:r w:rsidRPr="00365328">
        <w:rPr>
          <w:rFonts w:ascii="Calibri" w:hAnsi="Calibri" w:cs="Calibri"/>
          <w:b/>
          <w:sz w:val="19"/>
          <w:szCs w:val="19"/>
        </w:rPr>
        <w:t xml:space="preserve"> </w:t>
      </w:r>
      <w:r w:rsidRPr="00365328">
        <w:rPr>
          <w:rFonts w:ascii="Calibri" w:hAnsi="Calibri" w:cs="Calibri"/>
          <w:b/>
          <w:sz w:val="19"/>
          <w:szCs w:val="19"/>
        </w:rPr>
        <w:t>które warto stosować i dlaczego,</w:t>
      </w:r>
      <w:r w:rsidRPr="00365328">
        <w:rPr>
          <w:rFonts w:ascii="Calibri" w:hAnsi="Calibri" w:cs="Calibri"/>
          <w:b/>
          <w:sz w:val="19"/>
          <w:szCs w:val="19"/>
        </w:rPr>
        <w:t xml:space="preserve"> </w:t>
      </w:r>
      <w:r w:rsidRPr="00365328">
        <w:rPr>
          <w:rFonts w:ascii="Calibri" w:hAnsi="Calibri" w:cs="Calibri"/>
          <w:b/>
          <w:sz w:val="19"/>
          <w:szCs w:val="19"/>
        </w:rPr>
        <w:t>jak je prawidłowo opisać.</w:t>
      </w:r>
    </w:p>
    <w:p w14:paraId="410AFFE5" w14:textId="2F3391EB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Ocena ofert i dokumentów: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konsorcja i poleganie na zasobach innych podmiotów,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rażąco niska cena,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uzupełnianie dokumentów,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najczęstsze błędy komisji przetargowych.</w:t>
      </w:r>
    </w:p>
    <w:p w14:paraId="36E28D73" w14:textId="10C449F9" w:rsidR="00365328" w:rsidRPr="00365328" w:rsidRDefault="00365328" w:rsidP="00365328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Umowa w sprawie zamówienia publicznego – kluczowe aspekty</w:t>
      </w:r>
      <w:r w:rsidRPr="00365328">
        <w:rPr>
          <w:rFonts w:ascii="Calibri" w:hAnsi="Calibri" w:cs="Calibri"/>
          <w:b/>
          <w:sz w:val="19"/>
          <w:szCs w:val="19"/>
        </w:rPr>
        <w:t>.</w:t>
      </w:r>
    </w:p>
    <w:p w14:paraId="2B200429" w14:textId="7050EBF3" w:rsidR="00365328" w:rsidRPr="00365328" w:rsidRDefault="00365328" w:rsidP="00365328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sz w:val="19"/>
          <w:szCs w:val="19"/>
        </w:rPr>
        <w:sectPr w:rsidR="00365328" w:rsidRPr="00365328" w:rsidSect="00C05E9D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  <w:r w:rsidRPr="00365328">
        <w:rPr>
          <w:rFonts w:ascii="Calibri" w:hAnsi="Calibri" w:cs="Calibri"/>
          <w:b/>
          <w:sz w:val="19"/>
          <w:szCs w:val="19"/>
        </w:rPr>
        <w:t>Panel pytań i odpowiedzi – analiza problemów uczestników.</w:t>
      </w:r>
      <w:bookmarkEnd w:id="1"/>
    </w:p>
    <w:p w14:paraId="064C5A29" w14:textId="77777777" w:rsidR="00246C8F" w:rsidRDefault="00246C8F" w:rsidP="00000A97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4372D4A8" w14:textId="77777777" w:rsidR="00365328" w:rsidRDefault="00365328" w:rsidP="008D186C">
      <w:pPr>
        <w:pStyle w:val="WW-Tekstpodstawowywcity3"/>
        <w:spacing w:after="0"/>
        <w:ind w:left="0"/>
        <w:jc w:val="center"/>
        <w:rPr>
          <w:rFonts w:ascii="Calibri" w:hAnsi="Calibri" w:cs="Calibri"/>
          <w:b/>
          <w:sz w:val="40"/>
          <w:szCs w:val="40"/>
        </w:rPr>
      </w:pPr>
      <w:r w:rsidRPr="00365328">
        <w:rPr>
          <w:rFonts w:ascii="Calibri" w:hAnsi="Calibri" w:cs="Calibri"/>
          <w:b/>
          <w:sz w:val="40"/>
          <w:szCs w:val="40"/>
        </w:rPr>
        <w:t>„Udzielanie zamówień publicznych w II połowie 2026 roku – aktualne przepisy, problemy praktyczne i bezpieczne prowadzenie postępowań.”</w:t>
      </w:r>
    </w:p>
    <w:p w14:paraId="535EC63E" w14:textId="32A46C8A" w:rsidR="008D186C" w:rsidRDefault="00C4698B" w:rsidP="008D186C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  <w:r w:rsidR="008D186C">
        <w:rPr>
          <w:rFonts w:ascii="Calibri" w:hAnsi="Calibri" w:cs="Calibri"/>
          <w:b/>
          <w:sz w:val="40"/>
          <w:szCs w:val="40"/>
        </w:rPr>
        <w:t xml:space="preserve"> </w:t>
      </w:r>
      <w:r w:rsidR="00365328">
        <w:rPr>
          <w:rFonts w:ascii="Arial Narrow" w:hAnsi="Arial Narrow"/>
          <w:b/>
          <w:sz w:val="28"/>
          <w:szCs w:val="28"/>
        </w:rPr>
        <w:t>21</w:t>
      </w:r>
      <w:r w:rsidR="0083794D">
        <w:rPr>
          <w:rFonts w:ascii="Arial Narrow" w:hAnsi="Arial Narrow"/>
          <w:b/>
          <w:sz w:val="28"/>
          <w:szCs w:val="28"/>
        </w:rPr>
        <w:t xml:space="preserve"> MAJA</w:t>
      </w:r>
      <w:r w:rsidR="00461898">
        <w:rPr>
          <w:rFonts w:ascii="Arial Narrow" w:hAnsi="Arial Narrow"/>
          <w:b/>
          <w:sz w:val="28"/>
          <w:szCs w:val="28"/>
        </w:rPr>
        <w:t xml:space="preserve"> </w:t>
      </w:r>
      <w:r w:rsidR="00461898" w:rsidRPr="00B26C6E">
        <w:rPr>
          <w:rFonts w:ascii="Arial Narrow" w:hAnsi="Arial Narrow"/>
          <w:b/>
          <w:sz w:val="28"/>
          <w:szCs w:val="28"/>
        </w:rPr>
        <w:t>202</w:t>
      </w:r>
      <w:r w:rsidR="00461898">
        <w:rPr>
          <w:rFonts w:ascii="Arial Narrow" w:hAnsi="Arial Narrow"/>
          <w:b/>
          <w:sz w:val="28"/>
          <w:szCs w:val="28"/>
        </w:rPr>
        <w:t>6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 roku, </w:t>
      </w:r>
      <w:r w:rsidR="00365328">
        <w:rPr>
          <w:rFonts w:ascii="Arial Narrow" w:hAnsi="Arial Narrow"/>
          <w:b/>
          <w:sz w:val="28"/>
          <w:szCs w:val="28"/>
        </w:rPr>
        <w:t>KROSNO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, </w:t>
      </w:r>
    </w:p>
    <w:p w14:paraId="433C71EC" w14:textId="270BED6B" w:rsidR="0083794D" w:rsidRPr="008D186C" w:rsidRDefault="00365328" w:rsidP="008D186C">
      <w:pPr>
        <w:pStyle w:val="WW-Tekstpodstawowywcity3"/>
        <w:spacing w:after="0"/>
        <w:ind w:left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Arial Narrow" w:hAnsi="Arial Narrow"/>
          <w:b/>
          <w:sz w:val="28"/>
          <w:szCs w:val="28"/>
        </w:rPr>
        <w:t>Hotel Nafta</w:t>
      </w:r>
      <w:r w:rsidR="0083794D" w:rsidRPr="0083794D">
        <w:rPr>
          <w:rFonts w:ascii="Arial Narrow" w:hAnsi="Arial Narrow"/>
          <w:b/>
          <w:sz w:val="28"/>
          <w:szCs w:val="28"/>
        </w:rPr>
        <w:t xml:space="preserve">, ul. </w:t>
      </w:r>
      <w:r>
        <w:rPr>
          <w:rFonts w:ascii="Arial Narrow" w:hAnsi="Arial Narrow"/>
          <w:b/>
          <w:sz w:val="28"/>
          <w:szCs w:val="28"/>
        </w:rPr>
        <w:t>Lwowska 21</w:t>
      </w:r>
      <w:r w:rsidR="0083794D" w:rsidRPr="0083794D">
        <w:rPr>
          <w:rFonts w:ascii="Arial Narrow" w:hAnsi="Arial Narrow"/>
          <w:b/>
          <w:sz w:val="28"/>
          <w:szCs w:val="28"/>
        </w:rPr>
        <w:t>, 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55431EF8" w14:textId="77777777" w:rsidTr="003A2E0C">
        <w:trPr>
          <w:jc w:val="center"/>
        </w:trPr>
        <w:tc>
          <w:tcPr>
            <w:tcW w:w="3451" w:type="dxa"/>
          </w:tcPr>
          <w:p w14:paraId="5E53AD26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B2683B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1F98C9F2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3880C0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0D10CE4C" w14:textId="77777777" w:rsidTr="003A2E0C">
        <w:trPr>
          <w:trHeight w:val="465"/>
          <w:jc w:val="center"/>
        </w:trPr>
        <w:tc>
          <w:tcPr>
            <w:tcW w:w="3451" w:type="dxa"/>
          </w:tcPr>
          <w:p w14:paraId="0B07FE8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CBCC3EE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00B56C7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B0EAD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76A3D4A4" w14:textId="77777777" w:rsidTr="003A2E0C">
        <w:trPr>
          <w:trHeight w:val="465"/>
          <w:jc w:val="center"/>
        </w:trPr>
        <w:tc>
          <w:tcPr>
            <w:tcW w:w="3451" w:type="dxa"/>
          </w:tcPr>
          <w:p w14:paraId="58C6F600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3D8474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7B332A22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4E4552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07F69F8C" w14:textId="77777777" w:rsidTr="003A2E0C">
        <w:trPr>
          <w:trHeight w:val="465"/>
          <w:jc w:val="center"/>
        </w:trPr>
        <w:tc>
          <w:tcPr>
            <w:tcW w:w="3451" w:type="dxa"/>
          </w:tcPr>
          <w:p w14:paraId="06219430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13EAB9C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C4A6606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D38D2A9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63CCCDF" w14:textId="77777777" w:rsidTr="003A2E0C">
        <w:trPr>
          <w:trHeight w:val="465"/>
          <w:jc w:val="center"/>
        </w:trPr>
        <w:tc>
          <w:tcPr>
            <w:tcW w:w="3451" w:type="dxa"/>
          </w:tcPr>
          <w:p w14:paraId="1B5384F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6E20E0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3F66B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155B77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06CBA8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425E4D2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758C5C34" w14:textId="77777777" w:rsidR="003A2E0C" w:rsidRDefault="003A2E0C" w:rsidP="008D186C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4BA24E3" w14:textId="77777777" w:rsidR="003A2E0C" w:rsidRDefault="003A2E0C" w:rsidP="008D186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402A3C3" w14:textId="77777777" w:rsidR="008D186C" w:rsidRPr="00EE3A30" w:rsidRDefault="008D186C" w:rsidP="008D186C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4513226" w14:textId="77777777" w:rsidR="008D186C" w:rsidRPr="00EE3A30" w:rsidRDefault="008D186C" w:rsidP="008D186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9FDD27E" w14:textId="77777777" w:rsidR="008D186C" w:rsidRPr="00EE3A30" w:rsidRDefault="008D186C" w:rsidP="008D186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980FAD3" w14:textId="77777777" w:rsidR="008D186C" w:rsidRPr="00154682" w:rsidRDefault="008D186C" w:rsidP="008D186C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4233C55" w14:textId="77777777" w:rsidR="008D186C" w:rsidRDefault="008D186C" w:rsidP="008D186C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6CE4DE3" w14:textId="77777777" w:rsidR="008D186C" w:rsidRPr="00EE3A30" w:rsidRDefault="008D186C" w:rsidP="008D186C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38EE277" w14:textId="77777777" w:rsidR="008D186C" w:rsidRPr="00EE3A30" w:rsidRDefault="008D186C" w:rsidP="008D186C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7B92E9BC" w14:textId="77777777" w:rsidR="008D186C" w:rsidRPr="00EE3A30" w:rsidRDefault="008D186C" w:rsidP="008D186C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E1DD0D3" w14:textId="77777777" w:rsidR="008D186C" w:rsidRDefault="008D186C" w:rsidP="008D186C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68E10E7C" w14:textId="0F9FED8D" w:rsidR="008D186C" w:rsidRPr="006B0D06" w:rsidRDefault="008D186C" w:rsidP="008D186C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1CF5911A" w14:textId="77777777" w:rsidR="008D186C" w:rsidRPr="00EE3A30" w:rsidRDefault="008D186C" w:rsidP="008D186C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3CC550F" w14:textId="77777777" w:rsidR="008D186C" w:rsidRPr="006B0D06" w:rsidRDefault="008D186C" w:rsidP="008D186C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B7A3D15" wp14:editId="1B86422C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EBC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AB0B1A3" w14:textId="026475F1" w:rsidR="00C05E9D" w:rsidRPr="00461898" w:rsidRDefault="008D186C" w:rsidP="008D186C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C05E9D" w:rsidRPr="00461898" w:rsidSect="00C05E9D">
      <w:footerReference w:type="even" r:id="rId16"/>
      <w:footerReference w:type="default" r:id="rId17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4EDC" w14:textId="77777777" w:rsidR="001F3497" w:rsidRDefault="001F3497">
      <w:r>
        <w:separator/>
      </w:r>
    </w:p>
  </w:endnote>
  <w:endnote w:type="continuationSeparator" w:id="0">
    <w:p w14:paraId="05D2C07E" w14:textId="77777777" w:rsidR="001F3497" w:rsidRDefault="001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365328" w14:paraId="69C7FF5D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CF47FA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B08F571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1BCF606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9371553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13A067F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17D47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F3F62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A6487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F3756C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07C2E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9CD699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57C25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3DAA7B2B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9C789D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5CBF31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C3A2501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043F85D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2976"/>
    </w:tblGrid>
    <w:tr w:rsidR="0083794D" w:rsidRPr="00365328" w14:paraId="7EE8FEA5" w14:textId="77777777" w:rsidTr="00AC27C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9CF6F40" w14:textId="77777777" w:rsidR="0083794D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5EBD553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3639A49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F22A0CA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E7F16B0" w14:textId="77777777" w:rsidR="0083794D" w:rsidRPr="00BB1117" w:rsidRDefault="0083794D" w:rsidP="0083794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C962558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7237EC8" w14:textId="77777777" w:rsidR="0083794D" w:rsidRDefault="0083794D" w:rsidP="0083794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7C3820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2976" w:type="dxa"/>
          <w:tcBorders>
            <w:top w:val="single" w:sz="1" w:space="0" w:color="000000"/>
            <w:bottom w:val="single" w:sz="1" w:space="0" w:color="000000"/>
          </w:tcBorders>
        </w:tcPr>
        <w:p w14:paraId="325FB89C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D39F46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3617140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C4284AE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83794D" w:rsidRPr="00BB1117" w14:paraId="7792FDF4" w14:textId="77777777" w:rsidTr="00AC27C6">
      <w:trPr>
        <w:cantSplit/>
      </w:trPr>
      <w:tc>
        <w:tcPr>
          <w:tcW w:w="10348" w:type="dxa"/>
          <w:gridSpan w:val="3"/>
          <w:tcBorders>
            <w:bottom w:val="single" w:sz="4" w:space="0" w:color="auto"/>
          </w:tcBorders>
        </w:tcPr>
        <w:p w14:paraId="710568D1" w14:textId="77777777" w:rsidR="0083794D" w:rsidRPr="000C5683" w:rsidRDefault="0083794D" w:rsidP="0083794D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587C8433" w14:textId="77777777" w:rsidR="002C7E20" w:rsidRPr="0083794D" w:rsidRDefault="002C7E20" w:rsidP="00837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365328" w14:paraId="3CFEAA2F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C02DADB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492D44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FE5B380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24394D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AB705EE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A6B55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2C85BBE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B744491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773F8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CCD12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7804DA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02F2DD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A9707B4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33E4A9A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7C0CD7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7F0F441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365328" w14:paraId="6393192D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7DBC6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B2B3D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AAC7FA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EC69F7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4E10D79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8CEA1F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A29483D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CC54A7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7C780D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A6935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070602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224A9C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4DD1C144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D39CF48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2F02BD1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CBC8" w14:textId="77777777" w:rsidR="00C05E9D" w:rsidRPr="00DB1D56" w:rsidRDefault="00C05E9D" w:rsidP="00C05E9D">
    <w:pPr>
      <w:pStyle w:val="Stopka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08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5BB3" w14:textId="77777777" w:rsidR="001F3497" w:rsidRDefault="001F3497">
      <w:r>
        <w:separator/>
      </w:r>
    </w:p>
  </w:footnote>
  <w:footnote w:type="continuationSeparator" w:id="0">
    <w:p w14:paraId="19623610" w14:textId="77777777" w:rsidR="001F3497" w:rsidRDefault="001F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90FC" w14:textId="4CE5D6F0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65B717C8" wp14:editId="383463CF">
          <wp:extent cx="6760845" cy="135064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0BF74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4FDAFE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2A3C" w14:textId="3A661FA3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3C183178" wp14:editId="4BD1603F">
          <wp:extent cx="6677660" cy="135064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53C53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3D6" w14:textId="54B4652A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072E8BF5" wp14:editId="6CD8D01A">
          <wp:extent cx="6615430" cy="1357630"/>
          <wp:effectExtent l="0" t="0" r="0" b="0"/>
          <wp:docPr id="163933162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483B4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43D7DD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38C" w14:textId="7A444D8F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FBBF4CC" wp14:editId="668793F7">
          <wp:extent cx="6677660" cy="1350645"/>
          <wp:effectExtent l="0" t="0" r="0" b="0"/>
          <wp:docPr id="302138581" name="Obraz 302138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97BE2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B557F7"/>
    <w:multiLevelType w:val="hybridMultilevel"/>
    <w:tmpl w:val="B6C2C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2B1CE6"/>
    <w:multiLevelType w:val="hybridMultilevel"/>
    <w:tmpl w:val="71821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43D"/>
    <w:multiLevelType w:val="hybridMultilevel"/>
    <w:tmpl w:val="75E66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10054"/>
    <w:multiLevelType w:val="hybridMultilevel"/>
    <w:tmpl w:val="A776C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24C1D"/>
    <w:multiLevelType w:val="hybridMultilevel"/>
    <w:tmpl w:val="51F0C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4706B"/>
    <w:multiLevelType w:val="hybridMultilevel"/>
    <w:tmpl w:val="21B8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22D24"/>
    <w:multiLevelType w:val="hybridMultilevel"/>
    <w:tmpl w:val="D2DE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E8101C0"/>
    <w:multiLevelType w:val="hybridMultilevel"/>
    <w:tmpl w:val="C54A1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F2CFB"/>
    <w:multiLevelType w:val="hybridMultilevel"/>
    <w:tmpl w:val="A3A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62326"/>
    <w:multiLevelType w:val="hybridMultilevel"/>
    <w:tmpl w:val="8B5CBE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F9008A7"/>
    <w:multiLevelType w:val="hybridMultilevel"/>
    <w:tmpl w:val="1F70735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8AE5702"/>
    <w:multiLevelType w:val="hybridMultilevel"/>
    <w:tmpl w:val="69600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83267B"/>
    <w:multiLevelType w:val="hybridMultilevel"/>
    <w:tmpl w:val="F3186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13B80"/>
    <w:multiLevelType w:val="hybridMultilevel"/>
    <w:tmpl w:val="C1522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92C48"/>
    <w:multiLevelType w:val="hybridMultilevel"/>
    <w:tmpl w:val="EFFC494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30381E45"/>
    <w:multiLevelType w:val="hybridMultilevel"/>
    <w:tmpl w:val="DB722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74AF1"/>
    <w:multiLevelType w:val="hybridMultilevel"/>
    <w:tmpl w:val="A0DCAD0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0A5279"/>
    <w:multiLevelType w:val="hybridMultilevel"/>
    <w:tmpl w:val="4D52A4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E3A3A"/>
    <w:multiLevelType w:val="hybridMultilevel"/>
    <w:tmpl w:val="61C07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3E394C4B"/>
    <w:multiLevelType w:val="hybridMultilevel"/>
    <w:tmpl w:val="BEB2290E"/>
    <w:lvl w:ilvl="0" w:tplc="46327FE4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B23EF"/>
    <w:multiLevelType w:val="hybridMultilevel"/>
    <w:tmpl w:val="61DC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540FD"/>
    <w:multiLevelType w:val="hybridMultilevel"/>
    <w:tmpl w:val="E264A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3039E9"/>
    <w:multiLevelType w:val="hybridMultilevel"/>
    <w:tmpl w:val="A2426C90"/>
    <w:lvl w:ilvl="0" w:tplc="9C2249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5E44FE"/>
    <w:multiLevelType w:val="hybridMultilevel"/>
    <w:tmpl w:val="EC147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40558"/>
    <w:multiLevelType w:val="hybridMultilevel"/>
    <w:tmpl w:val="0ECC02E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5" w15:restartNumberingAfterBreak="0">
    <w:nsid w:val="52FC6753"/>
    <w:multiLevelType w:val="hybridMultilevel"/>
    <w:tmpl w:val="70525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44F1B73"/>
    <w:multiLevelType w:val="hybridMultilevel"/>
    <w:tmpl w:val="50286B2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A0D7B05"/>
    <w:multiLevelType w:val="hybridMultilevel"/>
    <w:tmpl w:val="804C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77CC2"/>
    <w:multiLevelType w:val="hybridMultilevel"/>
    <w:tmpl w:val="DEE0C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6883347"/>
    <w:multiLevelType w:val="hybridMultilevel"/>
    <w:tmpl w:val="5B4A8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744592D"/>
    <w:multiLevelType w:val="hybridMultilevel"/>
    <w:tmpl w:val="7FA66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E1C07F2"/>
    <w:multiLevelType w:val="hybridMultilevel"/>
    <w:tmpl w:val="F9307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AB4DD2"/>
    <w:multiLevelType w:val="hybridMultilevel"/>
    <w:tmpl w:val="B156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D2DE5"/>
    <w:multiLevelType w:val="hybridMultilevel"/>
    <w:tmpl w:val="A3A68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73654513"/>
    <w:multiLevelType w:val="hybridMultilevel"/>
    <w:tmpl w:val="16008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3E970AA"/>
    <w:multiLevelType w:val="hybridMultilevel"/>
    <w:tmpl w:val="13EA7D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6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648673E"/>
    <w:multiLevelType w:val="hybridMultilevel"/>
    <w:tmpl w:val="223CB8EA"/>
    <w:lvl w:ilvl="0" w:tplc="D430F50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78D9613F"/>
    <w:multiLevelType w:val="hybridMultilevel"/>
    <w:tmpl w:val="B2B45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1D755E"/>
    <w:multiLevelType w:val="hybridMultilevel"/>
    <w:tmpl w:val="AD5ADF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E2E0BF0"/>
    <w:multiLevelType w:val="hybridMultilevel"/>
    <w:tmpl w:val="DE285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56663">
    <w:abstractNumId w:val="5"/>
  </w:num>
  <w:num w:numId="2" w16cid:durableId="1576086814">
    <w:abstractNumId w:val="11"/>
  </w:num>
  <w:num w:numId="3" w16cid:durableId="472909974">
    <w:abstractNumId w:val="55"/>
  </w:num>
  <w:num w:numId="4" w16cid:durableId="236138991">
    <w:abstractNumId w:val="57"/>
  </w:num>
  <w:num w:numId="5" w16cid:durableId="1615015129">
    <w:abstractNumId w:val="39"/>
  </w:num>
  <w:num w:numId="6" w16cid:durableId="1112479270">
    <w:abstractNumId w:val="66"/>
  </w:num>
  <w:num w:numId="7" w16cid:durableId="1393776132">
    <w:abstractNumId w:val="19"/>
  </w:num>
  <w:num w:numId="8" w16cid:durableId="633566495">
    <w:abstractNumId w:val="61"/>
  </w:num>
  <w:num w:numId="9" w16cid:durableId="2097901445">
    <w:abstractNumId w:val="68"/>
  </w:num>
  <w:num w:numId="10" w16cid:durableId="475488336">
    <w:abstractNumId w:val="63"/>
  </w:num>
  <w:num w:numId="11" w16cid:durableId="693580848">
    <w:abstractNumId w:val="52"/>
  </w:num>
  <w:num w:numId="12" w16cid:durableId="1348480070">
    <w:abstractNumId w:val="8"/>
  </w:num>
  <w:num w:numId="13" w16cid:durableId="873036852">
    <w:abstractNumId w:val="13"/>
  </w:num>
  <w:num w:numId="14" w16cid:durableId="429084149">
    <w:abstractNumId w:val="51"/>
  </w:num>
  <w:num w:numId="15" w16cid:durableId="1919948268">
    <w:abstractNumId w:val="53"/>
  </w:num>
  <w:num w:numId="16" w16cid:durableId="1894123602">
    <w:abstractNumId w:val="12"/>
  </w:num>
  <w:num w:numId="17" w16cid:durableId="1718820418">
    <w:abstractNumId w:val="15"/>
  </w:num>
  <w:num w:numId="18" w16cid:durableId="1954743651">
    <w:abstractNumId w:val="33"/>
  </w:num>
  <w:num w:numId="19" w16cid:durableId="1663655821">
    <w:abstractNumId w:val="7"/>
  </w:num>
  <w:num w:numId="20" w16cid:durableId="1843885364">
    <w:abstractNumId w:val="24"/>
  </w:num>
  <w:num w:numId="21" w16cid:durableId="269162296">
    <w:abstractNumId w:val="36"/>
  </w:num>
  <w:num w:numId="22" w16cid:durableId="1782143667">
    <w:abstractNumId w:val="38"/>
  </w:num>
  <w:num w:numId="23" w16cid:durableId="996957406">
    <w:abstractNumId w:val="62"/>
  </w:num>
  <w:num w:numId="24" w16cid:durableId="1861888949">
    <w:abstractNumId w:val="27"/>
  </w:num>
  <w:num w:numId="25" w16cid:durableId="106891396">
    <w:abstractNumId w:val="47"/>
  </w:num>
  <w:num w:numId="26" w16cid:durableId="1804958474">
    <w:abstractNumId w:val="25"/>
  </w:num>
  <w:num w:numId="27" w16cid:durableId="242958058">
    <w:abstractNumId w:val="37"/>
  </w:num>
  <w:num w:numId="28" w16cid:durableId="1792744247">
    <w:abstractNumId w:val="22"/>
  </w:num>
  <w:num w:numId="29" w16cid:durableId="838348772">
    <w:abstractNumId w:val="21"/>
  </w:num>
  <w:num w:numId="30" w16cid:durableId="1872373960">
    <w:abstractNumId w:val="60"/>
  </w:num>
  <w:num w:numId="31" w16cid:durableId="949505701">
    <w:abstractNumId w:val="50"/>
  </w:num>
  <w:num w:numId="32" w16cid:durableId="1661274252">
    <w:abstractNumId w:val="44"/>
  </w:num>
  <w:num w:numId="33" w16cid:durableId="255788950">
    <w:abstractNumId w:val="46"/>
  </w:num>
  <w:num w:numId="34" w16cid:durableId="711073174">
    <w:abstractNumId w:val="23"/>
  </w:num>
  <w:num w:numId="35" w16cid:durableId="1039285529">
    <w:abstractNumId w:val="28"/>
  </w:num>
  <w:num w:numId="36" w16cid:durableId="983049313">
    <w:abstractNumId w:val="34"/>
  </w:num>
  <w:num w:numId="37" w16cid:durableId="1598712235">
    <w:abstractNumId w:val="16"/>
  </w:num>
  <w:num w:numId="38" w16cid:durableId="47150780">
    <w:abstractNumId w:val="67"/>
  </w:num>
  <w:num w:numId="39" w16cid:durableId="1708214604">
    <w:abstractNumId w:val="32"/>
  </w:num>
  <w:num w:numId="40" w16cid:durableId="979724089">
    <w:abstractNumId w:val="65"/>
  </w:num>
  <w:num w:numId="41" w16cid:durableId="944581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9943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0661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7980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2186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28585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1828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12901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72986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76320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6217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999579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2055394">
    <w:abstractNumId w:val="6"/>
  </w:num>
  <w:num w:numId="54" w16cid:durableId="1309746888">
    <w:abstractNumId w:val="58"/>
  </w:num>
  <w:num w:numId="55" w16cid:durableId="1718433096">
    <w:abstractNumId w:val="9"/>
  </w:num>
  <w:num w:numId="56" w16cid:durableId="1423212210">
    <w:abstractNumId w:val="48"/>
  </w:num>
  <w:num w:numId="57" w16cid:durableId="1985350778">
    <w:abstractNumId w:val="69"/>
  </w:num>
  <w:num w:numId="58" w16cid:durableId="1884172825">
    <w:abstractNumId w:val="54"/>
  </w:num>
  <w:num w:numId="59" w16cid:durableId="1301424011">
    <w:abstractNumId w:val="30"/>
  </w:num>
  <w:num w:numId="60" w16cid:durableId="649602983">
    <w:abstractNumId w:val="71"/>
  </w:num>
  <w:num w:numId="61" w16cid:durableId="1383364167">
    <w:abstractNumId w:val="41"/>
  </w:num>
  <w:num w:numId="62" w16cid:durableId="931741986">
    <w:abstractNumId w:val="70"/>
  </w:num>
  <w:num w:numId="63" w16cid:durableId="106588989">
    <w:abstractNumId w:val="45"/>
  </w:num>
  <w:num w:numId="64" w16cid:durableId="1839885146">
    <w:abstractNumId w:val="20"/>
  </w:num>
  <w:num w:numId="65" w16cid:durableId="876235158">
    <w:abstractNumId w:val="42"/>
  </w:num>
  <w:num w:numId="66" w16cid:durableId="1985113276">
    <w:abstractNumId w:val="35"/>
  </w:num>
  <w:num w:numId="67" w16cid:durableId="1538422649">
    <w:abstractNumId w:val="56"/>
  </w:num>
  <w:num w:numId="68" w16cid:durableId="886991772">
    <w:abstractNumId w:val="6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0A97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4CF1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497"/>
    <w:rsid w:val="001F3665"/>
    <w:rsid w:val="001F621A"/>
    <w:rsid w:val="001F6CD3"/>
    <w:rsid w:val="00200916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5253"/>
    <w:rsid w:val="002B260C"/>
    <w:rsid w:val="002B362E"/>
    <w:rsid w:val="002C06B1"/>
    <w:rsid w:val="002C07C8"/>
    <w:rsid w:val="002C4B83"/>
    <w:rsid w:val="002C6122"/>
    <w:rsid w:val="002C6F7E"/>
    <w:rsid w:val="002C72C9"/>
    <w:rsid w:val="002C7E20"/>
    <w:rsid w:val="002D0FBD"/>
    <w:rsid w:val="002D18F5"/>
    <w:rsid w:val="002D3C1B"/>
    <w:rsid w:val="002D57FC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0E46"/>
    <w:rsid w:val="00301397"/>
    <w:rsid w:val="003218FE"/>
    <w:rsid w:val="0032762B"/>
    <w:rsid w:val="0033070B"/>
    <w:rsid w:val="00337A6C"/>
    <w:rsid w:val="00342BE3"/>
    <w:rsid w:val="0035710A"/>
    <w:rsid w:val="00361275"/>
    <w:rsid w:val="00364273"/>
    <w:rsid w:val="00365328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335F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189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B505B"/>
    <w:rsid w:val="005B565A"/>
    <w:rsid w:val="005C3926"/>
    <w:rsid w:val="005C51F3"/>
    <w:rsid w:val="005D1822"/>
    <w:rsid w:val="005F0660"/>
    <w:rsid w:val="005F0AB7"/>
    <w:rsid w:val="005F1464"/>
    <w:rsid w:val="005F2094"/>
    <w:rsid w:val="005F2C61"/>
    <w:rsid w:val="005F2DD8"/>
    <w:rsid w:val="0062520C"/>
    <w:rsid w:val="006268DE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4DDF"/>
    <w:rsid w:val="006C5C50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25F2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68EB"/>
    <w:rsid w:val="00797353"/>
    <w:rsid w:val="007A277D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3794D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186C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7620"/>
    <w:rsid w:val="00BC7878"/>
    <w:rsid w:val="00BD2490"/>
    <w:rsid w:val="00BD7814"/>
    <w:rsid w:val="00C0182D"/>
    <w:rsid w:val="00C0457C"/>
    <w:rsid w:val="00C057C3"/>
    <w:rsid w:val="00C05E9D"/>
    <w:rsid w:val="00C06631"/>
    <w:rsid w:val="00C0791F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25ECF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B779A"/>
    <w:rsid w:val="00DC1907"/>
    <w:rsid w:val="00DC2C89"/>
    <w:rsid w:val="00DC35B4"/>
    <w:rsid w:val="00DC5735"/>
    <w:rsid w:val="00DD061A"/>
    <w:rsid w:val="00DD1AA8"/>
    <w:rsid w:val="00DD1C53"/>
    <w:rsid w:val="00DD4AB2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760E0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19BE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0C89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00DA"/>
    <w:rsid w:val="00F95AFA"/>
    <w:rsid w:val="00F97014"/>
    <w:rsid w:val="00FA6BC8"/>
    <w:rsid w:val="00FA6C64"/>
    <w:rsid w:val="00FA73DD"/>
    <w:rsid w:val="00FB144C"/>
    <w:rsid w:val="00FB2321"/>
    <w:rsid w:val="00FC06D7"/>
    <w:rsid w:val="00FC108B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22F1"/>
  <w15:chartTrackingRefBased/>
  <w15:docId w15:val="{9227C214-32F2-4C36-A835-D5F1FBE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paragraph" w:styleId="Poprawka">
    <w:name w:val="Revision"/>
    <w:hidden/>
    <w:uiPriority w:val="99"/>
    <w:semiHidden/>
    <w:rsid w:val="00134CF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923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2022-11-14T06:36:00Z</cp:lastPrinted>
  <dcterms:created xsi:type="dcterms:W3CDTF">2026-05-05T07:15:00Z</dcterms:created>
  <dcterms:modified xsi:type="dcterms:W3CDTF">2026-05-05T07:15:00Z</dcterms:modified>
</cp:coreProperties>
</file>