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580AF" w14:textId="107F3E8B" w:rsidR="0078270D" w:rsidRPr="0078270D" w:rsidRDefault="00000000" w:rsidP="0078270D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„</w:t>
      </w:r>
      <w:r w:rsidR="0078270D" w:rsidRPr="0078270D">
        <w:rPr>
          <w:rFonts w:ascii="Calibri" w:hAnsi="Calibri" w:cs="Calibri"/>
          <w:b/>
          <w:bCs/>
          <w:sz w:val="40"/>
          <w:szCs w:val="40"/>
        </w:rPr>
        <w:t>Zamówienia publiczne w praktyce – analiza problemów.</w:t>
      </w:r>
      <w:r w:rsidR="00BD5C68">
        <w:rPr>
          <w:rFonts w:ascii="Calibri" w:hAnsi="Calibri" w:cs="Calibri"/>
          <w:b/>
          <w:bCs/>
          <w:sz w:val="40"/>
          <w:szCs w:val="40"/>
        </w:rPr>
        <w:t>”</w:t>
      </w:r>
    </w:p>
    <w:p w14:paraId="546507BD" w14:textId="77777777" w:rsidR="00FC6B9B" w:rsidRPr="008A7AAD" w:rsidRDefault="0078270D" w:rsidP="0078270D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32"/>
          <w:szCs w:val="32"/>
        </w:rPr>
      </w:pPr>
      <w:r w:rsidRPr="008A7AAD">
        <w:rPr>
          <w:rFonts w:ascii="Calibri" w:hAnsi="Calibri" w:cs="Calibri"/>
          <w:i/>
          <w:iCs/>
          <w:sz w:val="32"/>
          <w:szCs w:val="32"/>
        </w:rPr>
        <w:t xml:space="preserve">1-dniowe Case </w:t>
      </w:r>
      <w:proofErr w:type="spellStart"/>
      <w:r w:rsidRPr="008A7AAD">
        <w:rPr>
          <w:rFonts w:ascii="Calibri" w:hAnsi="Calibri" w:cs="Calibri"/>
          <w:i/>
          <w:iCs/>
          <w:sz w:val="32"/>
          <w:szCs w:val="32"/>
        </w:rPr>
        <w:t>Study</w:t>
      </w:r>
      <w:proofErr w:type="spellEnd"/>
      <w:r w:rsidRPr="008A7AAD">
        <w:rPr>
          <w:rFonts w:ascii="Calibri" w:hAnsi="Calibri" w:cs="Calibri"/>
          <w:i/>
          <w:iCs/>
          <w:sz w:val="32"/>
          <w:szCs w:val="32"/>
        </w:rPr>
        <w:t xml:space="preserve"> dla średniozaawansowanych i zaawansowanych </w:t>
      </w:r>
    </w:p>
    <w:p w14:paraId="1B80F9F1" w14:textId="58FBF14D" w:rsidR="002415C4" w:rsidRPr="008A7AAD" w:rsidRDefault="0078270D" w:rsidP="0078270D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40"/>
          <w:szCs w:val="40"/>
        </w:rPr>
      </w:pPr>
      <w:r w:rsidRPr="008A7AAD">
        <w:rPr>
          <w:rFonts w:ascii="Calibri" w:hAnsi="Calibri" w:cs="Calibri"/>
          <w:i/>
          <w:iCs/>
          <w:sz w:val="32"/>
          <w:szCs w:val="32"/>
        </w:rPr>
        <w:t>na podstawie orzecznictwa Sądu Zamówień Publicznych</w:t>
      </w:r>
    </w:p>
    <w:p w14:paraId="3E015E3B" w14:textId="22C75DBA" w:rsidR="002415C4" w:rsidRDefault="00000000">
      <w:pPr>
        <w:pStyle w:val="NormalnyWeb"/>
        <w:spacing w:before="0" w:after="0"/>
        <w:jc w:val="center"/>
        <w:rPr>
          <w:rFonts w:ascii="Calibri" w:hAnsi="Calibri" w:cs="Calibri"/>
          <w:b/>
          <w:i/>
          <w:sz w:val="18"/>
          <w:szCs w:val="18"/>
        </w:rPr>
      </w:pPr>
      <w:r>
        <w:rPr>
          <w:rFonts w:ascii="Calibri" w:hAnsi="Calibri" w:cs="Calibri"/>
          <w:b/>
          <w:sz w:val="40"/>
          <w:szCs w:val="40"/>
        </w:rPr>
        <w:t>mec. Łukasz Mackiewicz</w:t>
      </w:r>
      <w:r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>,</w:t>
      </w:r>
      <w:r w:rsidR="000327C4"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 xml:space="preserve"> </w:t>
      </w:r>
      <w:r w:rsidR="0041226B"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>POZNAŃ</w:t>
      </w:r>
      <w:r>
        <w:rPr>
          <w:rFonts w:ascii="Calibri" w:hAnsi="Calibri" w:cs="Calibri"/>
          <w:b/>
          <w:sz w:val="40"/>
          <w:szCs w:val="40"/>
        </w:rPr>
        <w:t xml:space="preserve">, </w:t>
      </w:r>
      <w:r w:rsidR="00D146CA">
        <w:rPr>
          <w:rFonts w:ascii="Calibri" w:hAnsi="Calibri" w:cs="Calibri"/>
          <w:b/>
          <w:sz w:val="40"/>
          <w:szCs w:val="40"/>
        </w:rPr>
        <w:t>9</w:t>
      </w:r>
      <w:r>
        <w:rPr>
          <w:rFonts w:ascii="Calibri" w:hAnsi="Calibri" w:cs="Calibri"/>
          <w:b/>
          <w:sz w:val="40"/>
          <w:szCs w:val="40"/>
        </w:rPr>
        <w:t>.</w:t>
      </w:r>
      <w:r w:rsidR="00D146CA">
        <w:rPr>
          <w:rFonts w:ascii="Calibri" w:hAnsi="Calibri" w:cs="Calibri"/>
          <w:b/>
          <w:sz w:val="40"/>
          <w:szCs w:val="40"/>
        </w:rPr>
        <w:t>11</w:t>
      </w:r>
      <w:r>
        <w:rPr>
          <w:rFonts w:ascii="Calibri" w:hAnsi="Calibri" w:cs="Calibri"/>
          <w:b/>
          <w:sz w:val="40"/>
          <w:szCs w:val="40"/>
        </w:rPr>
        <w:t>.202</w:t>
      </w:r>
      <w:r w:rsidR="000327C4">
        <w:rPr>
          <w:rFonts w:ascii="Calibri" w:hAnsi="Calibri" w:cs="Calibri"/>
          <w:b/>
          <w:sz w:val="40"/>
          <w:szCs w:val="40"/>
        </w:rPr>
        <w:t>6</w:t>
      </w:r>
      <w:r>
        <w:rPr>
          <w:rFonts w:ascii="Calibri" w:hAnsi="Calibri" w:cs="Calibri"/>
          <w:b/>
          <w:sz w:val="40"/>
          <w:szCs w:val="40"/>
        </w:rPr>
        <w:t xml:space="preserve"> r.</w:t>
      </w:r>
    </w:p>
    <w:p w14:paraId="3D391273" w14:textId="5A16F790" w:rsidR="00CB376F" w:rsidRPr="00204C23" w:rsidRDefault="00CB376F" w:rsidP="00204C2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="00204C23"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738D38B8" w14:textId="77777777" w:rsidR="00BD5C68" w:rsidRDefault="00BD5C68" w:rsidP="00BD5C68"/>
    <w:p w14:paraId="0BC5DE03" w14:textId="77777777" w:rsidR="00BD5C68" w:rsidRPr="00FC6B9B" w:rsidRDefault="00BD5C68" w:rsidP="00FC6B9B">
      <w:pPr>
        <w:pStyle w:val="Akapitzlist"/>
        <w:numPr>
          <w:ilvl w:val="0"/>
          <w:numId w:val="13"/>
        </w:numPr>
        <w:spacing w:after="0"/>
        <w:ind w:left="714" w:hanging="357"/>
        <w:jc w:val="both"/>
        <w:rPr>
          <w:b/>
          <w:bCs/>
          <w:sz w:val="21"/>
          <w:szCs w:val="21"/>
        </w:rPr>
      </w:pPr>
      <w:r w:rsidRPr="00FC6B9B">
        <w:rPr>
          <w:b/>
          <w:bCs/>
          <w:sz w:val="21"/>
          <w:szCs w:val="21"/>
        </w:rPr>
        <w:t xml:space="preserve">Wprowadzenie. Różnice w poglądach KIO i Sadu Zamówień Publicznych oraz Prezesa UZP. Zasady postępowania – jak dokonać analizy odwołania w postępowaniu pod kątem spodziewanego rozstrzygnięcia. Kiedy warto rozważyć skargę do sądu. </w:t>
      </w:r>
    </w:p>
    <w:p w14:paraId="40E2D39C" w14:textId="77777777" w:rsidR="00BD5C68" w:rsidRPr="00FC6B9B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1"/>
          <w:szCs w:val="21"/>
        </w:rPr>
      </w:pPr>
      <w:r w:rsidRPr="00FC6B9B">
        <w:rPr>
          <w:b/>
          <w:bCs/>
          <w:sz w:val="21"/>
          <w:szCs w:val="21"/>
        </w:rPr>
        <w:t>Skarga na dokument Specyfikacji Warunków Zamówienia:</w:t>
      </w:r>
    </w:p>
    <w:p w14:paraId="58DCDC31" w14:textId="77777777" w:rsidR="00BD5C68" w:rsidRPr="00FC6B9B" w:rsidRDefault="00BD5C68" w:rsidP="00BD5C68">
      <w:pPr>
        <w:pStyle w:val="Akapitzlist"/>
        <w:numPr>
          <w:ilvl w:val="0"/>
          <w:numId w:val="8"/>
        </w:numPr>
        <w:spacing w:before="120" w:after="120"/>
        <w:rPr>
          <w:sz w:val="21"/>
          <w:szCs w:val="21"/>
        </w:rPr>
      </w:pPr>
      <w:r w:rsidRPr="00FC6B9B">
        <w:rPr>
          <w:sz w:val="21"/>
          <w:szCs w:val="21"/>
        </w:rPr>
        <w:t>Opis przedmiotu zamówienia – oferta niezgodna z warunkami zamówienia – CASE STUDY.</w:t>
      </w:r>
    </w:p>
    <w:p w14:paraId="2BF81972" w14:textId="77777777" w:rsidR="00BD5C68" w:rsidRPr="00FC6B9B" w:rsidRDefault="00BD5C68" w:rsidP="00BD5C68">
      <w:pPr>
        <w:pStyle w:val="Akapitzlist"/>
        <w:numPr>
          <w:ilvl w:val="0"/>
          <w:numId w:val="8"/>
        </w:numPr>
        <w:spacing w:before="120" w:after="120" w:line="240" w:lineRule="auto"/>
        <w:jc w:val="both"/>
        <w:rPr>
          <w:sz w:val="21"/>
          <w:szCs w:val="21"/>
        </w:rPr>
      </w:pPr>
      <w:r w:rsidRPr="00FC6B9B">
        <w:rPr>
          <w:sz w:val="21"/>
          <w:szCs w:val="21"/>
        </w:rPr>
        <w:t xml:space="preserve">Podmiotowe i przedmiotowe środki dowodowe – zasady i forma uzupełnienia. </w:t>
      </w:r>
    </w:p>
    <w:p w14:paraId="67F4F57D" w14:textId="77777777" w:rsidR="00BD5C68" w:rsidRPr="00FC6B9B" w:rsidRDefault="00BD5C68" w:rsidP="00BD5C68">
      <w:pPr>
        <w:pStyle w:val="Akapitzlist"/>
        <w:numPr>
          <w:ilvl w:val="0"/>
          <w:numId w:val="8"/>
        </w:numPr>
        <w:spacing w:before="120" w:after="120" w:line="240" w:lineRule="auto"/>
        <w:jc w:val="both"/>
        <w:rPr>
          <w:sz w:val="21"/>
          <w:szCs w:val="21"/>
        </w:rPr>
      </w:pPr>
      <w:r w:rsidRPr="00FC6B9B">
        <w:rPr>
          <w:sz w:val="21"/>
          <w:szCs w:val="21"/>
        </w:rPr>
        <w:t>Wykluczenie wykonawcy z postępowania. Jak prawidłowo uzasadnić decyzję o wykluczeniu i sformułować pismo do wykonawcy - CASE STUDY:</w:t>
      </w:r>
    </w:p>
    <w:p w14:paraId="3B7ABCC3" w14:textId="77777777" w:rsidR="00BD5C68" w:rsidRPr="00FC6B9B" w:rsidRDefault="00BD5C68" w:rsidP="00BD5C68">
      <w:pPr>
        <w:pStyle w:val="Akapitzlist"/>
        <w:numPr>
          <w:ilvl w:val="1"/>
          <w:numId w:val="11"/>
        </w:numPr>
        <w:spacing w:before="120" w:after="120" w:line="240" w:lineRule="auto"/>
        <w:jc w:val="both"/>
        <w:rPr>
          <w:sz w:val="21"/>
          <w:szCs w:val="21"/>
        </w:rPr>
      </w:pPr>
      <w:r w:rsidRPr="00FC6B9B">
        <w:rPr>
          <w:sz w:val="21"/>
          <w:szCs w:val="21"/>
        </w:rPr>
        <w:t>Nienależyte wykonanie zamówienia z winy wykonawcy a nienależyte wykonanie z przyczyn leżących po jego stronie – praktyczne różnice w stosowaniu art. 109.1.5 i 109.1.7.</w:t>
      </w:r>
    </w:p>
    <w:p w14:paraId="6EA86472" w14:textId="77777777" w:rsidR="00BD5C68" w:rsidRPr="00FC6B9B" w:rsidRDefault="00BD5C68" w:rsidP="00BD5C68">
      <w:pPr>
        <w:pStyle w:val="Akapitzlist"/>
        <w:numPr>
          <w:ilvl w:val="1"/>
          <w:numId w:val="11"/>
        </w:numPr>
        <w:spacing w:before="120" w:after="120" w:line="240" w:lineRule="auto"/>
        <w:jc w:val="both"/>
        <w:rPr>
          <w:sz w:val="21"/>
          <w:szCs w:val="21"/>
        </w:rPr>
      </w:pPr>
      <w:r w:rsidRPr="00FC6B9B">
        <w:rPr>
          <w:sz w:val="21"/>
          <w:szCs w:val="21"/>
        </w:rPr>
        <w:t>Niedozwolone porozumienie mające na celu zakłócenie konkurencji.</w:t>
      </w:r>
    </w:p>
    <w:p w14:paraId="4D2260ED" w14:textId="77777777" w:rsidR="00BD5C68" w:rsidRPr="00FC6B9B" w:rsidRDefault="00BD5C68" w:rsidP="00BD5C68">
      <w:pPr>
        <w:pStyle w:val="Akapitzlist"/>
        <w:numPr>
          <w:ilvl w:val="1"/>
          <w:numId w:val="11"/>
        </w:numPr>
        <w:spacing w:before="120" w:after="120" w:line="240" w:lineRule="auto"/>
        <w:jc w:val="both"/>
        <w:rPr>
          <w:sz w:val="21"/>
          <w:szCs w:val="21"/>
        </w:rPr>
      </w:pPr>
      <w:r w:rsidRPr="00FC6B9B">
        <w:rPr>
          <w:sz w:val="21"/>
          <w:szCs w:val="21"/>
        </w:rPr>
        <w:t>Zasady weryfikacji samooczyszczenia wykonawcy.</w:t>
      </w:r>
    </w:p>
    <w:p w14:paraId="3AED3326" w14:textId="77777777" w:rsidR="00BD5C68" w:rsidRPr="00FC6B9B" w:rsidRDefault="00BD5C68" w:rsidP="00FC6B9B">
      <w:pPr>
        <w:pStyle w:val="Akapitzlist"/>
        <w:numPr>
          <w:ilvl w:val="0"/>
          <w:numId w:val="8"/>
        </w:numPr>
        <w:spacing w:before="120" w:after="120"/>
        <w:rPr>
          <w:sz w:val="21"/>
          <w:szCs w:val="21"/>
        </w:rPr>
      </w:pPr>
      <w:r w:rsidRPr="00FC6B9B">
        <w:rPr>
          <w:sz w:val="21"/>
          <w:szCs w:val="21"/>
        </w:rPr>
        <w:t>CASE STUDY - warunki udziału w postępowaniu – proporcjonalność, czego warunki mogą dotyczyć, w jaki sposób wykonawca potwierdza, że warunek spełnia:</w:t>
      </w:r>
    </w:p>
    <w:p w14:paraId="38D0047C" w14:textId="77777777" w:rsidR="00BD5C68" w:rsidRPr="00FC6B9B" w:rsidRDefault="00BD5C68" w:rsidP="00BD5C68">
      <w:pPr>
        <w:pStyle w:val="Akapitzlist"/>
        <w:numPr>
          <w:ilvl w:val="0"/>
          <w:numId w:val="9"/>
        </w:numPr>
        <w:spacing w:before="120" w:after="120"/>
        <w:jc w:val="both"/>
        <w:rPr>
          <w:sz w:val="21"/>
          <w:szCs w:val="21"/>
        </w:rPr>
      </w:pPr>
      <w:r w:rsidRPr="00FC6B9B">
        <w:rPr>
          <w:sz w:val="21"/>
          <w:szCs w:val="21"/>
        </w:rPr>
        <w:t>Możliwości wykazania przez wykonawcę spełnienia warunku udziału – co należy uwzględnić w dokumentach zamówienia. CASE STUDY.</w:t>
      </w:r>
    </w:p>
    <w:p w14:paraId="1F48CE0F" w14:textId="77777777" w:rsidR="00BD5C68" w:rsidRPr="00FC6B9B" w:rsidRDefault="00BD5C68" w:rsidP="00BD5C68">
      <w:pPr>
        <w:pStyle w:val="Akapitzlist"/>
        <w:numPr>
          <w:ilvl w:val="0"/>
          <w:numId w:val="9"/>
        </w:numPr>
        <w:spacing w:before="120" w:after="120"/>
        <w:jc w:val="both"/>
        <w:rPr>
          <w:sz w:val="21"/>
          <w:szCs w:val="21"/>
        </w:rPr>
      </w:pPr>
      <w:r w:rsidRPr="00FC6B9B">
        <w:rPr>
          <w:sz w:val="21"/>
          <w:szCs w:val="21"/>
        </w:rPr>
        <w:t>Podmiotowe środki dowodowe – możliwości weryfikacji spełnienia warunku udziału.</w:t>
      </w:r>
    </w:p>
    <w:p w14:paraId="4715D417" w14:textId="77777777" w:rsidR="00BD5C68" w:rsidRPr="00FC6B9B" w:rsidRDefault="00BD5C68" w:rsidP="00FC6B9B">
      <w:pPr>
        <w:pStyle w:val="Akapitzlist"/>
        <w:numPr>
          <w:ilvl w:val="0"/>
          <w:numId w:val="8"/>
        </w:numPr>
        <w:spacing w:before="120" w:after="120"/>
        <w:rPr>
          <w:sz w:val="21"/>
          <w:szCs w:val="21"/>
        </w:rPr>
      </w:pPr>
      <w:r w:rsidRPr="00FC6B9B">
        <w:rPr>
          <w:sz w:val="21"/>
          <w:szCs w:val="21"/>
        </w:rPr>
        <w:t>Umowa w sprawie zamówienia publicznego. Obowiązkowa waloryzacja. Metody postępowania w przypadku odwołania na treść klauzuli waloryzacyjnej. CASE STUDY.</w:t>
      </w:r>
    </w:p>
    <w:p w14:paraId="2B764A80" w14:textId="77777777" w:rsidR="00BD5C68" w:rsidRPr="00FC6B9B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1"/>
          <w:szCs w:val="21"/>
        </w:rPr>
      </w:pPr>
      <w:r w:rsidRPr="00FC6B9B">
        <w:rPr>
          <w:b/>
          <w:bCs/>
          <w:sz w:val="21"/>
          <w:szCs w:val="21"/>
        </w:rPr>
        <w:t>Badanie i ocena ofert w świetle najnowszego orzecznictwa:</w:t>
      </w:r>
    </w:p>
    <w:p w14:paraId="7414E9A9" w14:textId="77777777" w:rsidR="00BD5C68" w:rsidRPr="00FC6B9B" w:rsidRDefault="00BD5C68" w:rsidP="00BD5C68">
      <w:pPr>
        <w:pStyle w:val="Akapitzlist"/>
        <w:numPr>
          <w:ilvl w:val="0"/>
          <w:numId w:val="10"/>
        </w:numPr>
        <w:spacing w:before="120" w:after="120"/>
        <w:rPr>
          <w:sz w:val="21"/>
          <w:szCs w:val="21"/>
        </w:rPr>
      </w:pPr>
      <w:r w:rsidRPr="00FC6B9B">
        <w:rPr>
          <w:sz w:val="21"/>
          <w:szCs w:val="21"/>
        </w:rPr>
        <w:t>Rażąco niska cena – ocena prawidłowości działań zamawiającego: cena, składowa ceny, składowa a cena jednostkowa – CASE STUDY. Prawidłowa konstrukcja wezwania do złożenia wyjaśnień w związku z rażąco niską ceną. Błędy i ich skutki dla dalszej procedury.</w:t>
      </w:r>
    </w:p>
    <w:p w14:paraId="6154FE71" w14:textId="77777777" w:rsidR="00BD5C68" w:rsidRPr="00FC6B9B" w:rsidRDefault="00BD5C68" w:rsidP="00BD5C68">
      <w:pPr>
        <w:pStyle w:val="Akapitzlist"/>
        <w:numPr>
          <w:ilvl w:val="0"/>
          <w:numId w:val="10"/>
        </w:numPr>
        <w:spacing w:before="120" w:after="120"/>
        <w:rPr>
          <w:sz w:val="21"/>
          <w:szCs w:val="21"/>
        </w:rPr>
      </w:pPr>
      <w:r w:rsidRPr="00FC6B9B">
        <w:rPr>
          <w:sz w:val="21"/>
          <w:szCs w:val="21"/>
        </w:rPr>
        <w:t>Unieważnienie postępowania w świetle orzecznictwa Sądu Okręgowego i stanowiska UZP.</w:t>
      </w:r>
    </w:p>
    <w:p w14:paraId="14B20D3F" w14:textId="77777777" w:rsidR="00BD5C68" w:rsidRPr="00FC6B9B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1"/>
          <w:szCs w:val="21"/>
        </w:rPr>
      </w:pPr>
      <w:r w:rsidRPr="00FC6B9B">
        <w:rPr>
          <w:b/>
          <w:bCs/>
          <w:sz w:val="21"/>
          <w:szCs w:val="21"/>
        </w:rPr>
        <w:t>Kluczowe orzeczenia Sądu Okręgowego podważające utartą ścieżkę orzeczniczą KIO i stanowiska Prezesa UZP.</w:t>
      </w:r>
    </w:p>
    <w:p w14:paraId="0D0CA134" w14:textId="5BCD4501" w:rsidR="00D05A62" w:rsidRPr="00FC6B9B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1"/>
          <w:szCs w:val="21"/>
        </w:rPr>
        <w:sectPr w:rsidR="00D05A62" w:rsidRPr="00FC6B9B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1134" w:right="737" w:bottom="1134" w:left="737" w:header="720" w:footer="1021" w:gutter="0"/>
          <w:cols w:space="708"/>
          <w:docGrid w:linePitch="360"/>
        </w:sectPr>
      </w:pPr>
      <w:r w:rsidRPr="00FC6B9B">
        <w:rPr>
          <w:b/>
          <w:bCs/>
          <w:sz w:val="21"/>
          <w:szCs w:val="21"/>
        </w:rPr>
        <w:t>Dyskusja</w:t>
      </w:r>
    </w:p>
    <w:p w14:paraId="3890F659" w14:textId="6CDD2714" w:rsidR="00FC6B9B" w:rsidRPr="00FC6B9B" w:rsidRDefault="00FC6B9B" w:rsidP="00FC6B9B">
      <w:pPr>
        <w:tabs>
          <w:tab w:val="left" w:pos="1340"/>
        </w:tabs>
        <w:rPr>
          <w:rFonts w:ascii="Calibri" w:hAnsi="Calibri" w:cs="Calibri"/>
          <w:sz w:val="24"/>
          <w:szCs w:val="24"/>
          <w:lang w:eastAsia="pl-PL"/>
        </w:rPr>
        <w:sectPr w:rsidR="00FC6B9B" w:rsidRPr="00FC6B9B">
          <w:type w:val="continuous"/>
          <w:pgSz w:w="11906" w:h="16838"/>
          <w:pgMar w:top="1134" w:right="737" w:bottom="1134" w:left="737" w:header="720" w:footer="1021" w:gutter="0"/>
          <w:cols w:space="708"/>
          <w:docGrid w:linePitch="360"/>
        </w:sectPr>
      </w:pPr>
    </w:p>
    <w:p w14:paraId="2C477F7D" w14:textId="77777777" w:rsidR="002415C4" w:rsidRDefault="002415C4">
      <w:pPr>
        <w:pStyle w:val="Tekstpodstawowy21"/>
        <w:ind w:left="-284"/>
        <w:rPr>
          <w:rFonts w:ascii="Calibri" w:hAnsi="Calibri" w:cs="Calibri"/>
          <w:b/>
          <w:bCs/>
          <w:i/>
          <w:color w:val="000000"/>
          <w:sz w:val="2"/>
          <w:szCs w:val="24"/>
          <w:lang w:eastAsia="pl-PL"/>
        </w:rPr>
      </w:pPr>
    </w:p>
    <w:p w14:paraId="4DF29901" w14:textId="77777777" w:rsidR="002415C4" w:rsidRDefault="00000000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  <w:u w:val="single"/>
        </w:rPr>
        <w:t>ZGŁOSZENIE NA SZKOLENIE:</w:t>
      </w:r>
    </w:p>
    <w:p w14:paraId="756B3901" w14:textId="77777777" w:rsidR="00FC6B9B" w:rsidRPr="008A7AAD" w:rsidRDefault="00FC6B9B" w:rsidP="00FC6B9B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b/>
          <w:bCs/>
          <w:sz w:val="36"/>
          <w:szCs w:val="36"/>
        </w:rPr>
      </w:pPr>
      <w:r w:rsidRPr="008A7AAD">
        <w:rPr>
          <w:rFonts w:ascii="Calibri" w:hAnsi="Calibri" w:cs="Calibri"/>
          <w:b/>
          <w:bCs/>
          <w:sz w:val="36"/>
          <w:szCs w:val="36"/>
        </w:rPr>
        <w:t>„Zamówienia publiczne w praktyce – analiza problemów.”</w:t>
      </w:r>
    </w:p>
    <w:p w14:paraId="2D76C28A" w14:textId="77777777" w:rsidR="00FC6B9B" w:rsidRPr="008A7AAD" w:rsidRDefault="00FC6B9B" w:rsidP="00FC6B9B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36"/>
          <w:szCs w:val="36"/>
        </w:rPr>
      </w:pPr>
      <w:r w:rsidRPr="008A7AAD">
        <w:rPr>
          <w:rFonts w:ascii="Calibri" w:hAnsi="Calibri" w:cs="Calibri"/>
          <w:i/>
          <w:iCs/>
          <w:sz w:val="36"/>
          <w:szCs w:val="36"/>
        </w:rPr>
        <w:t xml:space="preserve">1-dniowe Case </w:t>
      </w:r>
      <w:proofErr w:type="spellStart"/>
      <w:r w:rsidRPr="008A7AAD">
        <w:rPr>
          <w:rFonts w:ascii="Calibri" w:hAnsi="Calibri" w:cs="Calibri"/>
          <w:i/>
          <w:iCs/>
          <w:sz w:val="36"/>
          <w:szCs w:val="36"/>
        </w:rPr>
        <w:t>Study</w:t>
      </w:r>
      <w:proofErr w:type="spellEnd"/>
      <w:r w:rsidRPr="008A7AAD">
        <w:rPr>
          <w:rFonts w:ascii="Calibri" w:hAnsi="Calibri" w:cs="Calibri"/>
          <w:i/>
          <w:iCs/>
          <w:sz w:val="36"/>
          <w:szCs w:val="36"/>
        </w:rPr>
        <w:t xml:space="preserve"> dla średniozaawansowanych i zaawansowanych </w:t>
      </w:r>
    </w:p>
    <w:p w14:paraId="4012069E" w14:textId="77777777" w:rsidR="00FC6B9B" w:rsidRPr="008A7AAD" w:rsidRDefault="00FC6B9B" w:rsidP="00FC6B9B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36"/>
          <w:szCs w:val="36"/>
        </w:rPr>
      </w:pPr>
      <w:r w:rsidRPr="008A7AAD">
        <w:rPr>
          <w:rFonts w:ascii="Calibri" w:hAnsi="Calibri" w:cs="Calibri"/>
          <w:i/>
          <w:iCs/>
          <w:sz w:val="36"/>
          <w:szCs w:val="36"/>
        </w:rPr>
        <w:t>na podstawie orzecznictwa Sądu Zamówień Publicznych</w:t>
      </w:r>
    </w:p>
    <w:p w14:paraId="527BFAB7" w14:textId="77777777" w:rsidR="002415C4" w:rsidRDefault="00000000">
      <w:pPr>
        <w:pStyle w:val="NormalnyWeb"/>
        <w:spacing w:before="0" w:after="0"/>
        <w:ind w:left="-454" w:right="-454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36"/>
          <w:szCs w:val="36"/>
          <w:u w:val="single"/>
          <w:lang w:eastAsia="pl-PL"/>
        </w:rPr>
        <w:t>mec. Łukasz Mackiewicz</w:t>
      </w:r>
    </w:p>
    <w:p w14:paraId="479FAA14" w14:textId="3AB4E590" w:rsidR="002415C4" w:rsidRDefault="00D146CA">
      <w:pPr>
        <w:suppressAutoHyphens/>
        <w:ind w:left="-454" w:right="-454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9 listopada</w:t>
      </w:r>
      <w:r w:rsidR="00F80B15">
        <w:rPr>
          <w:rFonts w:ascii="Calibri" w:hAnsi="Calibri" w:cs="Calibri"/>
          <w:b/>
          <w:sz w:val="28"/>
          <w:szCs w:val="28"/>
        </w:rPr>
        <w:t xml:space="preserve"> </w:t>
      </w:r>
      <w:r w:rsidR="000327C4">
        <w:rPr>
          <w:rFonts w:ascii="Calibri" w:hAnsi="Calibri" w:cs="Calibri"/>
          <w:b/>
          <w:sz w:val="28"/>
          <w:szCs w:val="28"/>
        </w:rPr>
        <w:t xml:space="preserve">2026 roku, </w:t>
      </w:r>
      <w:r w:rsidR="0041226B">
        <w:rPr>
          <w:rFonts w:ascii="Calibri" w:hAnsi="Calibri" w:cs="Calibri"/>
          <w:b/>
          <w:sz w:val="32"/>
          <w:szCs w:val="32"/>
        </w:rPr>
        <w:t>POZNAŃ</w:t>
      </w:r>
      <w:r w:rsidR="000327C4">
        <w:rPr>
          <w:rFonts w:ascii="Calibri" w:hAnsi="Calibri" w:cs="Calibri"/>
          <w:b/>
          <w:sz w:val="28"/>
          <w:szCs w:val="28"/>
        </w:rPr>
        <w:t>, Hote</w:t>
      </w:r>
      <w:r w:rsidR="00A0694F">
        <w:rPr>
          <w:rFonts w:ascii="Calibri" w:hAnsi="Calibri" w:cs="Calibri"/>
          <w:b/>
          <w:sz w:val="28"/>
          <w:szCs w:val="28"/>
        </w:rPr>
        <w:t xml:space="preserve">l </w:t>
      </w:r>
      <w:proofErr w:type="spellStart"/>
      <w:r w:rsidR="0041226B">
        <w:rPr>
          <w:rFonts w:ascii="Calibri" w:hAnsi="Calibri" w:cs="Calibri"/>
          <w:b/>
          <w:sz w:val="28"/>
          <w:szCs w:val="28"/>
        </w:rPr>
        <w:t>Altus</w:t>
      </w:r>
      <w:proofErr w:type="spellEnd"/>
      <w:r w:rsidR="000327C4">
        <w:rPr>
          <w:rFonts w:ascii="Calibri" w:hAnsi="Calibri" w:cs="Calibri"/>
          <w:b/>
          <w:sz w:val="28"/>
          <w:szCs w:val="28"/>
        </w:rPr>
        <w:t xml:space="preserve">, </w:t>
      </w:r>
      <w:r w:rsidR="007B796F">
        <w:rPr>
          <w:rFonts w:ascii="Calibri" w:hAnsi="Calibri" w:cs="Calibri"/>
          <w:b/>
          <w:sz w:val="28"/>
          <w:szCs w:val="28"/>
        </w:rPr>
        <w:t>ul</w:t>
      </w:r>
      <w:r w:rsidR="000327C4">
        <w:rPr>
          <w:rFonts w:ascii="Calibri" w:hAnsi="Calibri" w:cs="Calibri"/>
          <w:b/>
          <w:sz w:val="28"/>
          <w:szCs w:val="28"/>
        </w:rPr>
        <w:t>.</w:t>
      </w:r>
      <w:r w:rsidR="00FC6B9B">
        <w:rPr>
          <w:rFonts w:ascii="Calibri" w:hAnsi="Calibri" w:cs="Calibri"/>
          <w:b/>
          <w:sz w:val="28"/>
          <w:szCs w:val="28"/>
        </w:rPr>
        <w:t xml:space="preserve"> </w:t>
      </w:r>
      <w:r w:rsidR="0041226B" w:rsidRPr="0041226B">
        <w:rPr>
          <w:rFonts w:ascii="Calibri" w:hAnsi="Calibri" w:cs="Calibri"/>
          <w:b/>
          <w:sz w:val="28"/>
          <w:szCs w:val="28"/>
        </w:rPr>
        <w:t>Święty Marcin 40 dojazd: Ratajczaka 31</w:t>
      </w:r>
      <w:r w:rsidR="000327C4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2415C4" w14:paraId="5A01E86B" w14:textId="77777777" w:rsidTr="000327C4">
        <w:trPr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8C6B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C5D4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3181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TELEFON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F362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KWOTA</w:t>
            </w:r>
          </w:p>
        </w:tc>
      </w:tr>
      <w:tr w:rsidR="002415C4" w14:paraId="63BE8BAD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2757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FF9B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D6B1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2807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17C8DCC3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64DC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0CCF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4695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6C78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7D326898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DBEB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7264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485F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452C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73F1FAC0" w14:textId="77777777" w:rsidTr="000327C4">
        <w:trPr>
          <w:cantSplit/>
          <w:jc w:val="center"/>
        </w:trPr>
        <w:tc>
          <w:tcPr>
            <w:tcW w:w="8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9797" w14:textId="77777777" w:rsidR="002415C4" w:rsidRDefault="00000000">
            <w:pPr>
              <w:pStyle w:val="Tekstpodstawowy"/>
              <w:spacing w:before="60" w:after="60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45CF" w14:textId="77777777" w:rsidR="002415C4" w:rsidRDefault="002415C4">
            <w:pPr>
              <w:pStyle w:val="Tekstpodstawowy"/>
              <w:snapToGrid w:val="0"/>
              <w:spacing w:before="60" w:after="60"/>
              <w:rPr>
                <w:rFonts w:ascii="Calibri" w:hAnsi="Calibri" w:cs="Calibri"/>
                <w:b/>
                <w:sz w:val="20"/>
              </w:rPr>
            </w:pPr>
          </w:p>
        </w:tc>
      </w:tr>
    </w:tbl>
    <w:p w14:paraId="7B39A76C" w14:textId="77777777" w:rsidR="000327C4" w:rsidRPr="00EE3A30" w:rsidRDefault="000327C4" w:rsidP="000327C4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6DD8E3A7" w14:textId="77777777" w:rsidR="000327C4" w:rsidRPr="00EE3A30" w:rsidRDefault="000327C4" w:rsidP="000327C4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34A25C9A" w14:textId="77777777" w:rsidR="000327C4" w:rsidRPr="00EE3A30" w:rsidRDefault="000327C4" w:rsidP="000327C4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53C75F2E" w14:textId="5FE9C7C6" w:rsidR="000327C4" w:rsidRPr="00154682" w:rsidRDefault="006B0D06" w:rsidP="000327C4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FFFAE0E" w14:textId="77777777" w:rsidR="006B0D06" w:rsidRDefault="006B0D06" w:rsidP="000327C4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1589321" w14:textId="7778CA8E" w:rsidR="000327C4" w:rsidRPr="00EE3A30" w:rsidRDefault="000327C4" w:rsidP="000327C4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0E110D5E" w14:textId="77777777" w:rsidR="000327C4" w:rsidRPr="00EE3A30" w:rsidRDefault="000327C4" w:rsidP="000327C4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3F3A815A" w14:textId="28E44209" w:rsidR="000327C4" w:rsidRPr="00EE3A30" w:rsidRDefault="000327C4" w:rsidP="000327C4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 w:rsidR="006B0D06"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 w:rsidR="006B0D06">
        <w:rPr>
          <w:rFonts w:ascii="Calibri" w:hAnsi="Calibri" w:cs="Calibri"/>
          <w:sz w:val="21"/>
          <w:szCs w:val="21"/>
        </w:rPr>
        <w:t>...............</w:t>
      </w:r>
    </w:p>
    <w:p w14:paraId="2C0EC1FE" w14:textId="77777777" w:rsidR="006B0D06" w:rsidRDefault="000327C4" w:rsidP="006B0D06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 xml:space="preserve">Adres: .............................................................................................................................................................................. </w:t>
      </w:r>
    </w:p>
    <w:p w14:paraId="20785536" w14:textId="7407710D" w:rsidR="006B0D06" w:rsidRPr="006B0D06" w:rsidRDefault="006B0D06" w:rsidP="006B0D06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FE8345B" w14:textId="2BC49538" w:rsidR="000327C4" w:rsidRPr="00EE3A30" w:rsidRDefault="000327C4" w:rsidP="006B0D06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223B58A9" w14:textId="2F9D5645" w:rsidR="000327C4" w:rsidRPr="006B0D06" w:rsidRDefault="000327C4" w:rsidP="006B0D06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86CD196" wp14:editId="01B1714A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6E9F27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73632FA2" w14:textId="6EBDA073" w:rsidR="0059694E" w:rsidRPr="000327C4" w:rsidRDefault="000327C4" w:rsidP="000327C4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59694E" w:rsidRPr="000327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021" w:bottom="1077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375F3" w14:textId="77777777" w:rsidR="00D4028E" w:rsidRDefault="00D4028E">
      <w:r>
        <w:separator/>
      </w:r>
    </w:p>
  </w:endnote>
  <w:endnote w:type="continuationSeparator" w:id="0">
    <w:p w14:paraId="2575A880" w14:textId="77777777" w:rsidR="00D4028E" w:rsidRDefault="00D40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415C4" w:rsidRPr="00D146CA" w14:paraId="50D92777" w14:textId="77777777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6DC3A450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05838A13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</w:p>
        <w:p w14:paraId="2254BBDE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27B7F9A2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57F0885A" w14:textId="77777777" w:rsidR="002415C4" w:rsidRDefault="00000000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41ABCFFE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7757214E" w14:textId="77777777" w:rsidR="002415C4" w:rsidRDefault="00000000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Citibank Handlowy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64A5ABF6" w14:textId="77777777" w:rsidR="002415C4" w:rsidRDefault="00000000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42C2FBAC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4D3DC043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5505AED1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56107804" w14:textId="77777777" w:rsidR="002415C4" w:rsidRPr="005E06E4" w:rsidRDefault="00000000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415C4" w14:paraId="482E06AC" w14:textId="77777777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35CBDD4B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Rejestr Instytucji Szkoleniowych nr 2.18/00040/2007</w:t>
          </w:r>
        </w:p>
        <w:p w14:paraId="68F550A6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2623D84F" w14:textId="77777777" w:rsidR="002415C4" w:rsidRDefault="00000000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28C2C243" w14:textId="77777777" w:rsidR="002415C4" w:rsidRDefault="002415C4">
    <w:pPr>
      <w:pStyle w:val="Stopka"/>
      <w:rPr>
        <w:sz w:val="2"/>
        <w:szCs w:val="2"/>
      </w:rPr>
    </w:pPr>
  </w:p>
  <w:p w14:paraId="52A34CA5" w14:textId="77777777" w:rsidR="002415C4" w:rsidRDefault="002415C4">
    <w:pPr>
      <w:pStyle w:val="Stopka"/>
      <w:rPr>
        <w:sz w:val="2"/>
        <w:szCs w:val="2"/>
      </w:rPr>
    </w:pPr>
  </w:p>
  <w:p w14:paraId="5DC03AA5" w14:textId="77777777" w:rsidR="002415C4" w:rsidRDefault="002415C4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415C4" w:rsidRPr="00D146CA" w14:paraId="3B660391" w14:textId="77777777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591AB30D" w14:textId="4EEDE646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7053D7E8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</w:p>
        <w:p w14:paraId="5B8EC57B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0F3AF699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6413092C" w14:textId="77777777" w:rsidR="002415C4" w:rsidRDefault="00000000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4953C2A9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2D5FB9E4" w14:textId="5EAF684D" w:rsidR="002415C4" w:rsidRDefault="00FC6B9B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 w:rsidRPr="00FC6B9B">
            <w:rPr>
              <w:rFonts w:ascii="Arial Narrow" w:hAnsi="Arial Narrow" w:cs="Arial Narrow"/>
              <w:b/>
              <w:sz w:val="16"/>
              <w:szCs w:val="16"/>
            </w:rPr>
            <w:t>VeloBank</w:t>
          </w:r>
          <w:proofErr w:type="spellEnd"/>
          <w:r w:rsidRPr="00FC6B9B">
            <w:rPr>
              <w:rFonts w:ascii="Arial Narrow" w:hAnsi="Arial Narrow" w:cs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4C6B3A44" w14:textId="77777777" w:rsidR="002415C4" w:rsidRDefault="00000000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48A725C2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4F606243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3FA67590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6FF8EB41" w14:textId="77777777" w:rsidR="002415C4" w:rsidRPr="005E06E4" w:rsidRDefault="00000000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415C4" w14:paraId="1BC70962" w14:textId="77777777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468AD48F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57095321" w14:textId="77777777" w:rsidR="002415C4" w:rsidRDefault="00000000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3DBFB9C3" w14:textId="77777777" w:rsidR="002415C4" w:rsidRDefault="002415C4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F16A" w14:textId="77777777" w:rsidR="002415C4" w:rsidRDefault="002415C4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08CD1" w14:textId="77777777" w:rsidR="002415C4" w:rsidRDefault="002415C4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ED6A" w14:textId="77777777" w:rsidR="002415C4" w:rsidRDefault="002415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1445" w14:textId="77777777" w:rsidR="00D4028E" w:rsidRDefault="00D4028E">
      <w:r>
        <w:separator/>
      </w:r>
    </w:p>
  </w:footnote>
  <w:footnote w:type="continuationSeparator" w:id="0">
    <w:p w14:paraId="39E1008C" w14:textId="77777777" w:rsidR="00D4028E" w:rsidRDefault="00D40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A858" w14:textId="234A1C12" w:rsidR="002415C4" w:rsidRDefault="00D05A62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43952B48" wp14:editId="5CBEEAFF">
          <wp:extent cx="6642100" cy="1352550"/>
          <wp:effectExtent l="0" t="0" r="0" b="0"/>
          <wp:docPr id="130474667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5A3097D" w14:textId="77777777" w:rsidR="002415C4" w:rsidRDefault="002415C4">
    <w:pPr>
      <w:pStyle w:val="Nagwek10"/>
      <w:rPr>
        <w:sz w:val="2"/>
        <w:szCs w:val="2"/>
      </w:rPr>
    </w:pPr>
  </w:p>
  <w:p w14:paraId="3AAFF23A" w14:textId="77777777" w:rsidR="002415C4" w:rsidRDefault="002415C4">
    <w:pPr>
      <w:pStyle w:val="Nagwek1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8623" w14:textId="2479ECE7" w:rsidR="002415C4" w:rsidRDefault="00D05A62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4CAA3FEC" wp14:editId="0C333B63">
          <wp:extent cx="6426200" cy="1352550"/>
          <wp:effectExtent l="0" t="0" r="0" b="0"/>
          <wp:docPr id="157202512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4262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042BFBC" w14:textId="77777777" w:rsidR="002415C4" w:rsidRDefault="002415C4">
    <w:pPr>
      <w:pStyle w:val="Nagwek1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26DB" w14:textId="0638BE74" w:rsidR="002415C4" w:rsidRPr="00FC6B9B" w:rsidRDefault="00FC6B9B" w:rsidP="00FC6B9B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3D18E2FF" wp14:editId="7EC9290C">
          <wp:extent cx="6426200" cy="1352550"/>
          <wp:effectExtent l="0" t="0" r="0" b="0"/>
          <wp:docPr id="15690680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4262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27433" w14:textId="472B5FE9" w:rsidR="002415C4" w:rsidRPr="005E06E4" w:rsidRDefault="00D05A62" w:rsidP="005E06E4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28D4AC18" wp14:editId="6FC3D766">
          <wp:extent cx="6642100" cy="135255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2075" w14:textId="77777777" w:rsidR="002415C4" w:rsidRDefault="002415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hint="default"/>
        <w:i w:val="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47A5FD5"/>
    <w:multiLevelType w:val="hybridMultilevel"/>
    <w:tmpl w:val="94365A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C70106"/>
    <w:multiLevelType w:val="hybridMultilevel"/>
    <w:tmpl w:val="EF6ED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7309F"/>
    <w:multiLevelType w:val="hybridMultilevel"/>
    <w:tmpl w:val="DE7859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26C06"/>
    <w:multiLevelType w:val="hybridMultilevel"/>
    <w:tmpl w:val="DA8A5B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617503"/>
    <w:multiLevelType w:val="hybridMultilevel"/>
    <w:tmpl w:val="9FD2CB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803EA"/>
    <w:multiLevelType w:val="hybridMultilevel"/>
    <w:tmpl w:val="F496E2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4292B"/>
    <w:multiLevelType w:val="hybridMultilevel"/>
    <w:tmpl w:val="28887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317242">
    <w:abstractNumId w:val="0"/>
  </w:num>
  <w:num w:numId="2" w16cid:durableId="1353190444">
    <w:abstractNumId w:val="1"/>
  </w:num>
  <w:num w:numId="3" w16cid:durableId="669453831">
    <w:abstractNumId w:val="2"/>
  </w:num>
  <w:num w:numId="4" w16cid:durableId="1296830270">
    <w:abstractNumId w:val="3"/>
  </w:num>
  <w:num w:numId="5" w16cid:durableId="1599026933">
    <w:abstractNumId w:val="4"/>
  </w:num>
  <w:num w:numId="6" w16cid:durableId="307318593">
    <w:abstractNumId w:val="5"/>
  </w:num>
  <w:num w:numId="7" w16cid:durableId="202864370">
    <w:abstractNumId w:val="6"/>
  </w:num>
  <w:num w:numId="8" w16cid:durableId="884368420">
    <w:abstractNumId w:val="7"/>
  </w:num>
  <w:num w:numId="9" w16cid:durableId="1702440708">
    <w:abstractNumId w:val="9"/>
  </w:num>
  <w:num w:numId="10" w16cid:durableId="723942118">
    <w:abstractNumId w:val="8"/>
  </w:num>
  <w:num w:numId="11" w16cid:durableId="1653363076">
    <w:abstractNumId w:val="11"/>
  </w:num>
  <w:num w:numId="12" w16cid:durableId="2097700367">
    <w:abstractNumId w:val="10"/>
  </w:num>
  <w:num w:numId="13" w16cid:durableId="4753416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Normalny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DF"/>
    <w:rsid w:val="000327C4"/>
    <w:rsid w:val="000B2ACE"/>
    <w:rsid w:val="00114CA6"/>
    <w:rsid w:val="001573ED"/>
    <w:rsid w:val="00160DBD"/>
    <w:rsid w:val="001A5E68"/>
    <w:rsid w:val="00204C23"/>
    <w:rsid w:val="002415C4"/>
    <w:rsid w:val="002B1467"/>
    <w:rsid w:val="00322590"/>
    <w:rsid w:val="003265DD"/>
    <w:rsid w:val="003811A8"/>
    <w:rsid w:val="00396408"/>
    <w:rsid w:val="0041226B"/>
    <w:rsid w:val="004D640A"/>
    <w:rsid w:val="0059694E"/>
    <w:rsid w:val="005E06E4"/>
    <w:rsid w:val="0069799B"/>
    <w:rsid w:val="006B0D06"/>
    <w:rsid w:val="006C3587"/>
    <w:rsid w:val="007251A3"/>
    <w:rsid w:val="0078270D"/>
    <w:rsid w:val="007B796F"/>
    <w:rsid w:val="007C6E46"/>
    <w:rsid w:val="007D2FB5"/>
    <w:rsid w:val="008A7AAD"/>
    <w:rsid w:val="008B4ADB"/>
    <w:rsid w:val="00942271"/>
    <w:rsid w:val="009A407B"/>
    <w:rsid w:val="00A0694F"/>
    <w:rsid w:val="00A80976"/>
    <w:rsid w:val="00BD3276"/>
    <w:rsid w:val="00BD5C68"/>
    <w:rsid w:val="00BF59A0"/>
    <w:rsid w:val="00C424DF"/>
    <w:rsid w:val="00C831DD"/>
    <w:rsid w:val="00CB376F"/>
    <w:rsid w:val="00D05A62"/>
    <w:rsid w:val="00D10DD4"/>
    <w:rsid w:val="00D146CA"/>
    <w:rsid w:val="00D334F8"/>
    <w:rsid w:val="00D4028E"/>
    <w:rsid w:val="00DF59B7"/>
    <w:rsid w:val="00EB67A4"/>
    <w:rsid w:val="00F32D09"/>
    <w:rsid w:val="00F80B15"/>
    <w:rsid w:val="00FB65E9"/>
    <w:rsid w:val="00FC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F37493"/>
  <w15:chartTrackingRefBased/>
  <w15:docId w15:val="{DC279C8E-9A7A-4CF7-839B-4D857C53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 w:cs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 w:firstLine="0"/>
      <w:jc w:val="both"/>
      <w:outlineLvl w:val="1"/>
    </w:pPr>
    <w:rPr>
      <w:rFonts w:ascii="Arial Narrow" w:hAnsi="Arial Narrow" w:cs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 w:cs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 w:cs="Lucida Console"/>
      <w:b/>
      <w:i/>
      <w:sz w:val="54"/>
    </w:rPr>
  </w:style>
  <w:style w:type="paragraph" w:styleId="Nagwek5">
    <w:name w:val="heading 5"/>
    <w:basedOn w:val="Normalny"/>
    <w:next w:val="Normalny"/>
    <w:qFormat/>
    <w:pPr>
      <w:keepNext/>
      <w:spacing w:before="40" w:after="40"/>
      <w:jc w:val="center"/>
      <w:outlineLvl w:val="4"/>
    </w:pPr>
    <w:rPr>
      <w:rFonts w:ascii="Arial Narrow" w:hAnsi="Arial Narrow" w:cs="Arial Narrow"/>
      <w:b/>
      <w:sz w:val="18"/>
    </w:rPr>
  </w:style>
  <w:style w:type="paragraph" w:styleId="Nagwek6">
    <w:name w:val="heading 6"/>
    <w:basedOn w:val="Normalny"/>
    <w:next w:val="Normalny"/>
    <w:qFormat/>
    <w:pPr>
      <w:keepNext/>
      <w:spacing w:before="120" w:after="40"/>
      <w:outlineLvl w:val="5"/>
    </w:pPr>
    <w:rPr>
      <w:rFonts w:ascii="Arial Narrow" w:hAnsi="Arial Narrow" w:cs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  <w:bCs/>
      <w:i w:val="0"/>
      <w:iCs w:val="0"/>
      <w:sz w:val="22"/>
      <w:szCs w:val="22"/>
    </w:rPr>
  </w:style>
  <w:style w:type="character" w:customStyle="1" w:styleId="WW8Num5z0">
    <w:name w:val="WW8Num5z0"/>
    <w:rPr>
      <w:rFonts w:hint="default"/>
      <w:i w:val="0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9z0">
    <w:name w:val="WW8Num39z0"/>
    <w:rPr>
      <w:rFonts w:ascii="Symbol" w:hAnsi="Symbol" w:cs="Symbol" w:hint="default"/>
    </w:rPr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3z0">
    <w:name w:val="WW8Num43z0"/>
    <w:rPr>
      <w:rFonts w:ascii="Symbol" w:hAnsi="Symbol" w:cs="Symbol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4z0">
    <w:name w:val="WW8Num44z0"/>
    <w:rPr>
      <w:rFonts w:hint="default"/>
      <w:i w:val="0"/>
    </w:rPr>
  </w:style>
  <w:style w:type="character" w:customStyle="1" w:styleId="WW8Num45z0">
    <w:name w:val="WW8Num45z0"/>
    <w:rPr>
      <w:rFonts w:ascii="Symbol" w:hAnsi="Symbol" w:cs="Symbol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7z0">
    <w:name w:val="WW8Num47z0"/>
    <w:rPr>
      <w:rFonts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7z3">
    <w:name w:val="WW8Num47z3"/>
    <w:rPr>
      <w:rFonts w:ascii="Symbol" w:hAnsi="Symbol" w:cs="Symbol" w:hint="default"/>
    </w:rPr>
  </w:style>
  <w:style w:type="character" w:customStyle="1" w:styleId="WW8Num48z0">
    <w:name w:val="WW8Num48z0"/>
    <w:rPr>
      <w:rFonts w:ascii="Symbol" w:hAnsi="Symbol" w:cs="Symbol" w:hint="default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9z0">
    <w:name w:val="WW8Num49z0"/>
    <w:rPr>
      <w:rFonts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2">
    <w:name w:val="WW8Num49z2"/>
    <w:rPr>
      <w:rFonts w:ascii="Wingdings" w:hAnsi="Wingdings" w:cs="Wingdings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1z0">
    <w:name w:val="WW8Num51z0"/>
    <w:rPr>
      <w:rFonts w:ascii="Symbol" w:hAnsi="Symbol" w:cs="Symbol" w:hint="default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4z0">
    <w:name w:val="WW8Num54z0"/>
    <w:rPr>
      <w:rFonts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9z0">
    <w:name w:val="WW8Num9z0"/>
    <w:rPr>
      <w:rFonts w:ascii="Wingdings" w:hAnsi="Wingdings" w:cs="Wingdings"/>
      <w:b/>
      <w:sz w:val="22"/>
    </w:rPr>
  </w:style>
  <w:style w:type="character" w:customStyle="1" w:styleId="WW8Num22z0">
    <w:name w:val="WW8Num22z0"/>
    <w:rPr>
      <w:rFonts w:ascii="Times New Roman" w:hAnsi="Times New Roman" w:cs="Times New Roman"/>
    </w:rPr>
  </w:style>
  <w:style w:type="character" w:customStyle="1" w:styleId="WW8Num37z1">
    <w:name w:val="WW8Num37z1"/>
    <w:rPr>
      <w:rFonts w:ascii="Wingdings" w:hAnsi="Wingdings" w:cs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6z0">
    <w:name w:val="WW8Num46z0"/>
    <w:rPr>
      <w:rFonts w:ascii="Symbol" w:hAnsi="Symbol" w:cs="Symbol"/>
      <w:sz w:val="20"/>
    </w:rPr>
  </w:style>
  <w:style w:type="character" w:customStyle="1" w:styleId="WW8Num46z1">
    <w:name w:val="WW8Num46z1"/>
    <w:rPr>
      <w:rFonts w:ascii="Courier New" w:hAnsi="Courier New" w:cs="Courier New"/>
      <w:sz w:val="20"/>
    </w:rPr>
  </w:style>
  <w:style w:type="character" w:customStyle="1" w:styleId="WW8Num46z2">
    <w:name w:val="WW8Num46z2"/>
    <w:rPr>
      <w:rFonts w:ascii="Wingdings" w:hAnsi="Wingdings" w:cs="Wingdings"/>
      <w:sz w:val="20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 w:cs="Wingdings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odstawowyZnak">
    <w:name w:val="Tekst podstawowy Znak"/>
    <w:rPr>
      <w:rFonts w:ascii="Arial Narrow" w:hAnsi="Arial Narrow" w:cs="Arial Narrow"/>
      <w:sz w:val="22"/>
    </w:rPr>
  </w:style>
  <w:style w:type="character" w:customStyle="1" w:styleId="NagwekZnak">
    <w:name w:val="Nagłówek Znak"/>
    <w:uiPriority w:val="99"/>
  </w:style>
  <w:style w:type="character" w:customStyle="1" w:styleId="TekstprzypisukocowegoZnak">
    <w:name w:val="Tekst przypisu końcowego Znak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Nagwek5Znak">
    <w:name w:val="Nagłówek 5 Znak"/>
    <w:rPr>
      <w:rFonts w:ascii="Arial Narrow" w:hAnsi="Arial Narrow" w:cs="Arial Narrow"/>
      <w:b/>
      <w:sz w:val="18"/>
    </w:rPr>
  </w:style>
  <w:style w:type="character" w:customStyle="1" w:styleId="Nagwek6Znak">
    <w:name w:val="Nagłówek 6 Znak"/>
    <w:rPr>
      <w:rFonts w:ascii="Arial Narrow" w:hAnsi="Arial Narrow" w:cs="Arial Narrow"/>
      <w:b/>
      <w:sz w:val="18"/>
    </w:rPr>
  </w:style>
  <w:style w:type="character" w:customStyle="1" w:styleId="StopkaZnak">
    <w:name w:val="Stopka Znak"/>
  </w:style>
  <w:style w:type="character" w:customStyle="1" w:styleId="Tekstpodstawowywcity3Znak">
    <w:name w:val="Tekst podstawowy wcięty 3 Znak"/>
    <w:rPr>
      <w:sz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matkomentarzaZnak">
    <w:name w:val="Temat komentarza Znak"/>
    <w:rPr>
      <w:b/>
      <w:bCs/>
    </w:rPr>
  </w:style>
  <w:style w:type="paragraph" w:customStyle="1" w:styleId="Nagwek10">
    <w:name w:val="Nagłówek1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both"/>
    </w:pPr>
    <w:rPr>
      <w:rFonts w:ascii="Arial Narrow" w:hAnsi="Arial Narrow" w:cs="Arial Narrow"/>
      <w:sz w:val="22"/>
    </w:rPr>
  </w:style>
  <w:style w:type="paragraph" w:styleId="Lista">
    <w:name w:val="List"/>
    <w:basedOn w:val="Tekstpodstawowy"/>
    <w:rPr>
      <w:rFonts w:cs="Lucida Sans Unicode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left="214"/>
      <w:jc w:val="both"/>
    </w:pPr>
    <w:rPr>
      <w:rFonts w:ascii="Arial" w:hAnsi="Arial" w:cs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 w:cs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</w:style>
  <w:style w:type="paragraph" w:customStyle="1" w:styleId="Tekstpodstawowy31">
    <w:name w:val="Tekst podstawowy 31"/>
    <w:basedOn w:val="Normalny"/>
    <w:rPr>
      <w:rFonts w:ascii="Arial" w:hAnsi="Arial" w:cs="Arial"/>
      <w:sz w:val="18"/>
    </w:rPr>
  </w:style>
  <w:style w:type="paragraph" w:customStyle="1" w:styleId="Tekstpodstawowy21">
    <w:name w:val="Tekst podstawowy 21"/>
    <w:basedOn w:val="Normalny"/>
    <w:pPr>
      <w:suppressAutoHyphens/>
      <w:jc w:val="both"/>
    </w:pPr>
    <w:rPr>
      <w:rFonts w:ascii="Arial" w:hAnsi="Arial" w:cs="Arial"/>
      <w:sz w:val="18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0D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860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------------</vt:lpstr>
    </vt:vector>
  </TitlesOfParts>
  <Company/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2022-11-09T07:37:00Z</cp:lastPrinted>
  <dcterms:created xsi:type="dcterms:W3CDTF">2026-10-01T09:18:00Z</dcterms:created>
  <dcterms:modified xsi:type="dcterms:W3CDTF">2026-10-01T09:18:00Z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